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highlight w:val="none"/>
        </w:rPr>
      </w:pPr>
      <w:r>
        <w:rPr>
          <w:rFonts w:ascii="Times New Roman" w:hAnsi="Times New Roman" w:eastAsia="宋体" w:cs="Times New Roman"/>
          <w:b/>
          <w:bCs/>
          <w:color w:val="333333"/>
          <w:kern w:val="0"/>
          <w:sz w:val="28"/>
          <w:szCs w:val="28"/>
          <w:highlight w:val="none"/>
        </w:rPr>
        <w:t>Detailed Rules of Zhengzhou Commodity Exchange for White Sugar Futures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Provisions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are made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Trading Rules of Zhengzhou Commodity Exchange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the white sugar (“sugar”) futures (“</w:t>
      </w:r>
      <w:r>
        <w:rPr>
          <w:rFonts w:ascii="Times New Roman" w:hAnsi="Times New Roman" w:eastAsia="宋体" w:cs="Times New Roman"/>
          <w:b/>
          <w:bCs/>
          <w:color w:val="333333"/>
          <w:kern w:val="0"/>
          <w:sz w:val="24"/>
          <w:szCs w:val="24"/>
          <w:highlight w:val="none"/>
        </w:rPr>
        <w:t>SR</w:t>
      </w:r>
      <w:r>
        <w:rPr>
          <w:rFonts w:ascii="Times New Roman" w:hAnsi="Times New Roman" w:eastAsia="宋体" w:cs="Times New Roman"/>
          <w:color w:val="333333"/>
          <w:kern w:val="0"/>
          <w:sz w:val="24"/>
          <w:szCs w:val="24"/>
          <w:highlight w:val="none"/>
        </w:rPr>
        <w:t>”) contract to regulate SR-related activities on the Zhengzhou Commodity Exchange (the “</w:t>
      </w:r>
      <w:r>
        <w:rPr>
          <w:rFonts w:ascii="Times New Roman" w:hAnsi="Times New Roman" w:eastAsia="宋体" w:cs="Times New Roman"/>
          <w:b/>
          <w:bCs/>
          <w:color w:val="333333"/>
          <w:kern w:val="0"/>
          <w:sz w:val="24"/>
          <w:szCs w:val="24"/>
          <w:highlight w:val="none"/>
        </w:rPr>
        <w:t>Exchange</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Exchange, Members, clients, delivery warehouses, factory warehouses, Designated Quality Inspection Agencies, and other participants of the futures market shall comply with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Trading</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SR contract has a contract size of 10 metric tons/lot.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SR contract has a price quotation of Chinese Yuan (RMB)/metric ton.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SR contract has a minimum price fluctuation of 1 yuan/metric ton.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SR contract has the following delivery months: January, March, May, July, September, November.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SR contract has a minimum order size of 1 lot, maximum order size of 1,000 lots for limit orders, and maximum order size of 200 lots for market orders.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SR contract is traded during night session hours and day session hours. The night session hours are </w:t>
      </w:r>
      <w:r>
        <w:rPr>
          <w:rFonts w:hint="eastAsia" w:ascii="Times New Roman" w:hAnsi="Times New Roman" w:eastAsia="宋体" w:cs="Times New Roman"/>
          <w:color w:val="333333"/>
          <w:kern w:val="0"/>
          <w:sz w:val="24"/>
          <w:szCs w:val="24"/>
          <w:highlight w:val="none"/>
        </w:rPr>
        <w:t>21</w:t>
      </w:r>
      <w:r>
        <w:rPr>
          <w:rFonts w:ascii="Times New Roman" w:hAnsi="Times New Roman" w:eastAsia="宋体" w:cs="Times New Roman"/>
          <w:color w:val="333333"/>
          <w:kern w:val="0"/>
          <w:sz w:val="24"/>
          <w:szCs w:val="24"/>
          <w:highlight w:val="none"/>
        </w:rPr>
        <w:t xml:space="preserve">:00 – </w:t>
      </w:r>
      <w:r>
        <w:rPr>
          <w:rFonts w:hint="eastAsia" w:ascii="Times New Roman" w:hAnsi="Times New Roman" w:eastAsia="宋体" w:cs="Times New Roman"/>
          <w:color w:val="333333"/>
          <w:kern w:val="0"/>
          <w:sz w:val="24"/>
          <w:szCs w:val="24"/>
          <w:highlight w:val="none"/>
        </w:rPr>
        <w:t>23</w:t>
      </w:r>
      <w:r>
        <w:rPr>
          <w:rFonts w:ascii="Times New Roman" w:hAnsi="Times New Roman" w:eastAsia="宋体" w:cs="Times New Roman"/>
          <w:color w:val="333333"/>
          <w:kern w:val="0"/>
          <w:sz w:val="24"/>
          <w:szCs w:val="24"/>
          <w:highlight w:val="none"/>
        </w:rPr>
        <w:t xml:space="preserve">:00. The day session hours are 9:00 – 11:30 and </w:t>
      </w:r>
      <w:r>
        <w:rPr>
          <w:rFonts w:hint="eastAsia" w:ascii="Times New Roman" w:hAnsi="Times New Roman" w:eastAsia="宋体" w:cs="Times New Roman"/>
          <w:color w:val="333333"/>
          <w:kern w:val="0"/>
          <w:sz w:val="24"/>
          <w:szCs w:val="24"/>
          <w:highlight w:val="none"/>
        </w:rPr>
        <w:t>13</w:t>
      </w:r>
      <w:r>
        <w:rPr>
          <w:rFonts w:ascii="Times New Roman" w:hAnsi="Times New Roman" w:eastAsia="宋体" w:cs="Times New Roman"/>
          <w:color w:val="333333"/>
          <w:kern w:val="0"/>
          <w:sz w:val="24"/>
          <w:szCs w:val="24"/>
          <w:highlight w:val="none"/>
        </w:rPr>
        <w:t xml:space="preserve">:30 – </w:t>
      </w:r>
      <w:r>
        <w:rPr>
          <w:rFonts w:hint="eastAsia" w:ascii="Times New Roman" w:hAnsi="Times New Roman" w:eastAsia="宋体" w:cs="Times New Roman"/>
          <w:color w:val="333333"/>
          <w:kern w:val="0"/>
          <w:sz w:val="24"/>
          <w:szCs w:val="24"/>
          <w:highlight w:val="none"/>
        </w:rPr>
        <w:t>15</w:t>
      </w:r>
      <w:r>
        <w:rPr>
          <w:rFonts w:ascii="Times New Roman" w:hAnsi="Times New Roman" w:eastAsia="宋体" w:cs="Times New Roman"/>
          <w:color w:val="333333"/>
          <w:kern w:val="0"/>
          <w:sz w:val="24"/>
          <w:szCs w:val="24"/>
          <w:highlight w:val="none"/>
        </w:rPr>
        <w:t>:00, with a break at 10:15 – 10:30.</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suspension or cancellation of the night session or adjustment of the night session hours will be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SR contract has the following Last Trading Day: the 10th trading day of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SR contract has the following product code: SR.</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Rules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SR may be delivered by exchange of futures for physical, delivery with standard delivery warehouse receipts, and delivery with standard factory warehouse receipts.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Rolling Delivery for SR is conducted through Response Matching.</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specific delivery procedures are governed by the applicable provisions of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Futures Delivery Rules of Zhengzhou Commodity Exchange</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these</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SR contract has a delivery unit of 10 metric tons.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SR contract has the following Last Delivery Day: the 13th trading day of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standard warehouse receipts for SR may be classified into standard delivery warehouse receipts and standard factory warehouse receipts.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standard warehouse receipts for SR are all non-general standard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Standard warehouse receipts registered for sugar produced in a given crop year are valid till the last business day (inclusive) in November of the end of that crop year.</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“Crop year” as referred to in this Article means the period from October 1 of a given year to September 30 of the following year.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Delivery of SR shall be made against a special VAT invoice.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delivery warehouses and factory warehouses for SR and the relevant premiums and discounts are determined and published by, and subject to the adjustment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benchmark delivery price of SR is the tax-included price (including packaging fees) at which the benchmark deliverable is delivered at a benchmark delivery warehouse.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registrant of a standard warehouse receipt for SR shall bear all the expenses incurred before the commodity is transported to the designated storage location in the delivery warehouse; the pick-up person shall bear all the expenses arising from moving the commodity from the designated storage location onto the truck, railcar, or ship.</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rates of delivery fees, storage fees, load-in and load-out fees, inspection fees, and other delivery-related fees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cost of packaging materials for sugar is included in the price of the corresponding futures contract and is not charged separately.</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matter in relation to the creation, negotiation, and cancellation of standard warehouse receipts for SR that is not covered by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is governed by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Standard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delivery of SR is governed by national standards and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benchmark deliverable is white sugar meeting the quality standards for Grade I sugar under</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National Standard of the People’s Republic of China “White Granulated Sugar”</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(GB/T 317-2018).</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substitute deliverables and their premiums and discounts are as follows:</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Imported sugar (including sugar processed from imported raw sugar) meeting Grade I or Grade II standards under GB/T 317-2018 (with color value no greater than 170IU) may be delivered against SR;</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Sugar with color value no greater than 170IU and otherwise meeting the Grade II standards under GB/T 317-2018 may be delivered as a substitute against the September contract of the current crop year and the November contract following the end of the current crop year at a discount of RMB 50 yuan/metric ton.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Standard warehouse receipts registered for sugar produced in a given crop year are deliverable against contracts up to and including the November contract following the end of the current crop year. Delivery is made at an RMB 20 yuan/metric ton discount for the September contract at the end of that crop year and an RMB 40 yuan/metric ton discount for the November contract following the end of that crop year; the discount shall be settled together with the delivery payment.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packaging for sugar shall comply with GB/T 317-2018.</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mark and label for imported sugar shall indicate the product name, net weight, name of the manufacturer, and production date. Other information is optional.</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with Standard Delivery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load-in deposit of RMB 30 yuan/metric ton shall be paid to the delivery warehouse at the submission of a delivery intention for SR.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Load-in Notice issued by a delivery warehouse in the three Exchange-recognized major producing areas of Guangdong, Guangxi, and Yunnan between November 1 of a given year to April 30 of the following year is valid for fifteen (15) calendar days.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 Load-in Notice issued during other periods or by a delivery warehouse in other regions is valid for forty (40) calendar days.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following documentations shall be provided for the load-in of sugar:</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Domestic sugar: Photocopies of the National Industrial Products Production License, Certificate of Quality, and the Business License of the manufacturer;</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Imported sugar: Photocopy of the PBC Customs Declaration Form for Import Goods approving the sale of the current shipment of sugar within the Chinese mainland (with form of trade being “general trade”); the Sanitary Certificate for the current shipment issued by the entry-exit inspection and quarantine authority of the port of entry; and the Certificate of Quality, Certificate of Origin, and (with signature) Guarantee of Lawful, Truthful, and Valid Documentations for Imported White Sugar issued by the manufacturer or exporter of the current shipment.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No request to register standard warehouse receipts for Grade II sugar is accepted before August 1 of each year.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sugar that is contained in packaging that shows signs of mold, serious contamination, moisture, or leakage; has caked; or has developed an odor shall not be loaded in.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delivery warehouse conducts weight inspection on sugar at load-in. The weight inspection may be conducted through a combination of truck scale and weighing of randomly selected packs, or solely by weighing of randomly selected packs.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load-in quality inspection of sugar is to be conducted by a Designated Quality Inspection Agency; the inspection fees shall be borne by the registrant of the corresponding standard warehouse receipts. One sample is to be taken from each stack location. Each sample shall be partitioned into two parts, sealed, and then mailed to the Designated Quality Inspection Agency. The registrant of the standard warehouse receipt may also entrust sampling to a third party accredited by the national quality and technical supervision authority, in which case the delivery warehouse shall provide cooperation. Any resulting expenses (excluding the sampling supporting service fees of the delivery warehouse) shall be borne by the registrant.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Designated Quality Inspection Agency shall issue and notify the delivery warehouse of the inspection results within five (5) business days of receiving each batch of samples.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registrant or delivery warehouse that objects to the results of load-in quality inspection may request the Exchange for a re-inspection. The specific procedures are governed by the “Load-in Re-inspection of Delivery Warehouse Commodities”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registrant of standard warehouse receipts shall be present at the weight inspection and load-in sampling of sugar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After the sugar is loaded in, the delivery warehouse shall record in a file such information as the name, contact person, and contact information of the registrant; load-in quantity; manufacturer; and the storehouse and stack location, which information shall be confirmed by the registrant with signature.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Starting from 3:00 p.m. on the 5th trading day of the delivery month of a contract, the Exchange will no longer accept the requests of delivery warehouses to register standard warehouse receipts for sugar to be delivered in the current month. The standard warehouse receipts created from registration requests submitted after 3:00 p.m. are deliverable against contracts of subsequent months.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cancellation of a standard delivery warehouse receipt for sugar,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load-out weight inspection of sugar shall be jointly conducted by the delivery warehouse and the pick-up person in reference to the rules on load-in weight inspection.</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quantity shortage at load-out shall be made up by the delivery warehouse in a timely manner; failing which, the delivery warehouse shall compensate the pick-up person for the price of the missing commodity based on the highest final settlement price of the SR contract in the nearby month up to and including the date the Pick-up Notice is issued.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pick-up person that objects to the quality of the sugar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sugar that shows change in color value due to weathering may be loaded out as normal and shall not be refused by the pick-up person if such change is within the prescribed range.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any Grade I sugar has a color value less than or equal to 190IU, the corresponding loss shall be borne by the pick-up person; where it has a color value between 190IU (exclusive) and 240IU (inclusive), then the delivery warehouse shall compensate the pick-up person at RMB 10 yuan/metric ton for every 10IU increment in color value. For this purpose, increment less than 10IU is counted as 10IU. If the color value is greater than 240IU, the delivery warehouse is liable for compensation.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delivery warehouse is liable for compensation for any sugar at load-out that is contained in packaging that shows signs of mold, serious contamination, moisture, or leakage; has caked; or has developed an odor.</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4</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with Standard Factory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maximum number of standard warehouse receipts registerable by a sugar factory warehouse is determined by, and subject to the adjustment of, the Exchange.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 factory warehouse for sugar shall provide registration security in accordance with the rules of the Exchange before requesting to register standard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cancellation of a standard factory warehouse receipt for sugar,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In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Unless otherwise agreed with the pick-up person, a factory warehouse shall begin shipping the commodity within three (3) calendar days after the pick-up procedures are duly completed. The pick-up person may either pick up the commodity personally at the warehouse or request the factory warehouse to ship it on his behalf.</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load-out weight inspection of sugar from a factory warehouse shall be jointly conducted by the pick-up person and the factory warehouse, with the weight obtained by the factory warehouse being conclusive. Load-out shall be conducted without shortage in weight.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quantity shortage at load-out shall be made up by the factory warehouse in a timely manner; failing which, the factory warehouse shall compensate the pick-up person for the price of the missing commodity based on the highest final settlement price of the SR contract in the nearby month up to and including the date the Pick-up Notice is issued.</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pick-up person shall be present at the delivery location to monitor the delivery process, or be deemed to have accepted the load-out weight.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Unless otherwise agreed with the pick-up person, a factory warehouse shall ensure the commodity delivered meets the quality specifications of the Exchange for delivery.</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At the time of load-out, the factory warehouse shall take samples in the presence of the pick-up person before the commodity is loaded onto the buyer’s transport vehicles, which samples shall be jointly confirmed and then jointly sealed by the parties. Each sample is to be partitioned into three parts, with one kept by the pick-up person and two by the factory warehouse. The samples shall be retained by the factory warehouse for thirty (30) calendar days after shipment and will serve as the basis for settling potential quality disputes.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Objection over weight shall be raised before load-out; objection over quality shall be raised within five (5) business days of load-out. The procedures for the re-inspection are governed by the “Load-out Re-inspection of Factory Warehouse Commodities”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the factory warehouse or pick-up person fails to ship or pick up the commodity as planned, they shall discuss a solution in a timely manner and appropriately adjust the shipment speed or schedule. The amount of late fee = Σ[5 yuan/metric ton/day × days delayed × commodity quantity yet to be shipped or picked up].</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SR contract in the nearby month × commodity quantity yet to be shipped × 120%.</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factory warehouse or the pick-up person is not liable for the late fee or liquidated damages if shipment or pick-up is delayed by weather or other force majeure events.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4</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Risk Management</w:t>
      </w:r>
    </w:p>
    <w:p>
      <w:pPr>
        <w:widowControl/>
        <w:spacing w:after="312" w:afterLines="100" w:line="276" w:lineRule="auto"/>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SR contract has a minimum Trading Margin rate of 5% of contract value.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Trading Margin rate of SR contract varies as follows:</w:t>
      </w:r>
    </w:p>
    <w:tbl>
      <w:tblPr>
        <w:tblStyle w:val="4"/>
        <w:tblW w:w="0" w:type="auto"/>
        <w:tblInd w:w="1440" w:type="dxa"/>
        <w:tblLayout w:type="autofit"/>
        <w:tblCellMar>
          <w:top w:w="0" w:type="dxa"/>
          <w:left w:w="0" w:type="dxa"/>
          <w:bottom w:w="0" w:type="dxa"/>
          <w:right w:w="0" w:type="dxa"/>
        </w:tblCellMar>
      </w:tblPr>
      <w:tblGrid>
        <w:gridCol w:w="4353"/>
        <w:gridCol w:w="2729"/>
      </w:tblGrid>
      <w:tr>
        <w:tblPrEx>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Margin rate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5%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20% of contract value</w:t>
            </w:r>
          </w:p>
        </w:tc>
      </w:tr>
    </w:tbl>
    <w:p>
      <w:pPr>
        <w:widowControl/>
        <w:spacing w:before="312" w:beforeLines="100"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SR contract has a price limit of ±4% of the settlement price of the preceding trading day.</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position limit of a particular SR contract varies as follows:</w:t>
      </w:r>
    </w:p>
    <w:tbl>
      <w:tblPr>
        <w:tblStyle w:val="4"/>
        <w:tblW w:w="0" w:type="auto"/>
        <w:tblInd w:w="1440" w:type="dxa"/>
        <w:tblLayout w:type="autofit"/>
        <w:tblCellMar>
          <w:top w:w="0" w:type="dxa"/>
          <w:left w:w="0" w:type="dxa"/>
          <w:bottom w:w="0" w:type="dxa"/>
          <w:right w:w="0" w:type="dxa"/>
        </w:tblCellMar>
      </w:tblPr>
      <w:tblGrid>
        <w:gridCol w:w="3575"/>
        <w:gridCol w:w="1757"/>
        <w:gridCol w:w="1750"/>
      </w:tblGrid>
      <w:tr>
        <w:tblPrEx>
          <w:tblCellMar>
            <w:top w:w="0" w:type="dxa"/>
            <w:left w:w="0" w:type="dxa"/>
            <w:bottom w:w="0" w:type="dxa"/>
            <w:right w:w="0" w:type="dxa"/>
          </w:tblCellMar>
        </w:tblPrEx>
        <w:tc>
          <w:tcPr>
            <w:tcW w:w="386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period</w:t>
            </w:r>
          </w:p>
        </w:tc>
        <w:tc>
          <w:tcPr>
            <w:tcW w:w="3708"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Maximum long position or short position held by a non-futures brokerage Member or client (lot)</w:t>
            </w:r>
          </w:p>
        </w:tc>
      </w:tr>
      <w:tr>
        <w:tblPrEx>
          <w:tblCellMar>
            <w:top w:w="0" w:type="dxa"/>
            <w:left w:w="0" w:type="dxa"/>
            <w:bottom w:w="0" w:type="dxa"/>
            <w:right w:w="0" w:type="dxa"/>
          </w:tblCellMar>
        </w:tblPrEx>
        <w:tc>
          <w:tcPr>
            <w:tcW w:w="3868" w:type="dxa"/>
            <w:vMerge w:val="restart"/>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listing to the 15th calendar day of the month preceding the delivery month</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Open interest &lt; 300,000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30,000</w:t>
            </w:r>
          </w:p>
        </w:tc>
      </w:tr>
      <w:tr>
        <w:tblPrEx>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shd w:val="clear" w:color="auto" w:fill="auto"/>
            <w:vAlign w:val="center"/>
          </w:tcPr>
          <w:p>
            <w:pPr>
              <w:widowControl/>
              <w:spacing w:before="60" w:after="60"/>
              <w:jc w:val="left"/>
              <w:rPr>
                <w:rFonts w:ascii="Times New Roman" w:hAnsi="Times New Roman" w:eastAsia="宋体" w:cs="Times New Roman"/>
                <w:kern w:val="0"/>
                <w:sz w:val="24"/>
                <w:szCs w:val="24"/>
                <w:highlight w:val="none"/>
              </w:rPr>
            </w:pP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Open interest ≥ 300,000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 of open interest</w:t>
            </w:r>
          </w:p>
        </w:tc>
      </w:tr>
      <w:tr>
        <w:tblPrEx>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the 16th calendar day to the last calendar day of the month preceding the 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6,000</w:t>
            </w:r>
          </w:p>
        </w:tc>
      </w:tr>
      <w:tr>
        <w:tblPrEx>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1,000</w:t>
            </w:r>
          </w:p>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(0 for individuals)</w:t>
            </w:r>
          </w:p>
        </w:tc>
      </w:tr>
    </w:tbl>
    <w:p>
      <w:pPr>
        <w:widowControl/>
        <w:spacing w:before="312" w:beforeLines="100"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the Exchange adjusts the Trading Margin rate or price limit of SR contract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Risk Control Rules of Zhengzhou Commodity Exchange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or other rules, such adjusted values shall prevail.</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5</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Ancillary Provisions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violation of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will be handled in accordance with the </w:t>
      </w:r>
      <w:r>
        <w:rPr>
          <w:rFonts w:ascii="Times New Roman" w:hAnsi="Times New Roman" w:eastAsia="宋体" w:cs="Times New Roman"/>
          <w:i/>
          <w:iCs/>
          <w:color w:val="333333"/>
          <w:kern w:val="0"/>
          <w:sz w:val="24"/>
          <w:szCs w:val="24"/>
          <w:highlight w:val="none"/>
        </w:rPr>
        <w:t>Rules of Zhengzhou Commodity Exchange on Violations</w:t>
      </w:r>
      <w:r>
        <w:rPr>
          <w:rFonts w:ascii="Times New Roman" w:hAnsi="Times New Roman" w:eastAsia="宋体" w:cs="Times New Roman"/>
          <w:color w:val="333333"/>
          <w:kern w:val="0"/>
          <w:sz w:val="24"/>
          <w:szCs w:val="24"/>
          <w:highlight w:val="none"/>
        </w:rPr>
        <w:t> and other applicable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matter not covered by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is governed by the relevant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Exchange reserves the right to interpret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1248" w:afterLines="4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 xml:space="preserve">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bookmarkStart w:id="0" w:name="_GoBack"/>
      <w:bookmarkEnd w:id="0"/>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ascii="Times New Roman" w:hAnsi="Times New Roman" w:eastAsia="等线"/>
          <w:kern w:val="0"/>
          <w:sz w:val="24"/>
          <w:szCs w:val="24"/>
          <w:highlight w:val="none"/>
        </w:rPr>
        <w:t>.</w:t>
      </w:r>
    </w:p>
    <w:p>
      <w:pPr>
        <w:widowControl/>
        <w:spacing w:after="312" w:afterLines="100" w:line="276" w:lineRule="auto"/>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(This English version is for reference ONLY. In case of any inconsistency between the different language versions, the Chinese version prevails.)</w:t>
      </w:r>
    </w:p>
    <w:p>
      <w:pPr>
        <w:spacing w:after="312" w:afterLines="100" w:line="276" w:lineRule="auto"/>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20"/>
    <w:rsid w:val="001B1D3C"/>
    <w:rsid w:val="00226930"/>
    <w:rsid w:val="00255F13"/>
    <w:rsid w:val="00394F07"/>
    <w:rsid w:val="00463DB5"/>
    <w:rsid w:val="004731B2"/>
    <w:rsid w:val="005A7459"/>
    <w:rsid w:val="00632839"/>
    <w:rsid w:val="007965EE"/>
    <w:rsid w:val="00861876"/>
    <w:rsid w:val="008624E3"/>
    <w:rsid w:val="00B04A3B"/>
    <w:rsid w:val="00BA6927"/>
    <w:rsid w:val="00C57D7D"/>
    <w:rsid w:val="00D2007D"/>
    <w:rsid w:val="00DF18D9"/>
    <w:rsid w:val="00F51320"/>
    <w:rsid w:val="00F53EF0"/>
    <w:rsid w:val="77FFDF61"/>
    <w:rsid w:val="C7FBFBBB"/>
    <w:rsid w:val="EDAF184D"/>
    <w:rsid w:val="FAAEE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hidden-xs"/>
    <w:basedOn w:val="5"/>
    <w:qFormat/>
    <w:uiPriority w:val="0"/>
  </w:style>
  <w:style w:type="character" w:customStyle="1" w:styleId="8">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3382</Words>
  <Characters>19284</Characters>
  <Lines>160</Lines>
  <Paragraphs>45</Paragraphs>
  <TotalTime>0</TotalTime>
  <ScaleCrop>false</ScaleCrop>
  <LinksUpToDate>false</LinksUpToDate>
  <CharactersWithSpaces>22621</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2024-01-24T07:50:00Z</dcterms:created>
  <dc:creator>李柯颖</dc:creator>
  <cp:lastModifiedBy>管玉箫</cp:lastModifiedBy>
  <dcterms:modified xsi:type="dcterms:W3CDTF">2024-02-02T14:15:35Z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88112296FB733DFCD696B8655CE36164</vt:lpwstr>
  </property>
</Properties>
</file>