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276" w:lineRule="auto"/>
        <w:jc w:val="center"/>
        <w:rPr>
          <w:rFonts w:ascii="Times New Roman" w:hAnsi="Times New Roman" w:eastAsia="宋体" w:cs="Times New Roman"/>
          <w:b/>
          <w:bCs/>
          <w:color w:val="333333"/>
          <w:kern w:val="0"/>
          <w:sz w:val="28"/>
          <w:szCs w:val="28"/>
          <w:highlight w:val="none"/>
        </w:rPr>
      </w:pPr>
      <w:r>
        <w:rPr>
          <w:rFonts w:ascii="Times New Roman" w:hAnsi="Times New Roman" w:eastAsia="宋体" w:cs="Times New Roman"/>
          <w:b/>
          <w:bCs/>
          <w:color w:val="333333"/>
          <w:kern w:val="0"/>
          <w:sz w:val="28"/>
          <w:szCs w:val="28"/>
          <w:highlight w:val="none"/>
        </w:rPr>
        <w:t>Detailed Rules of Zhengzhou Commodity Exchange for Early Long-Grain Nonglutinous Paddy Futures</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made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Trading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 early long-grain nonglutinous paddy futures (“</w:t>
      </w:r>
      <w:r>
        <w:rPr>
          <w:rFonts w:ascii="Times New Roman" w:hAnsi="Times New Roman" w:eastAsia="宋体" w:cs="Times New Roman"/>
          <w:b/>
          <w:bCs/>
          <w:color w:val="333333"/>
          <w:kern w:val="0"/>
          <w:sz w:val="24"/>
          <w:szCs w:val="24"/>
          <w:highlight w:val="none"/>
        </w:rPr>
        <w:t>RI</w:t>
      </w:r>
      <w:r>
        <w:rPr>
          <w:rFonts w:ascii="Times New Roman" w:hAnsi="Times New Roman" w:eastAsia="宋体" w:cs="Times New Roman"/>
          <w:color w:val="333333"/>
          <w:kern w:val="0"/>
          <w:sz w:val="24"/>
          <w:szCs w:val="24"/>
          <w:highlight w:val="none"/>
        </w:rPr>
        <w:t>”) contract to regulate RI-related activities on the Zhengzhou Commodity Exchange (the “</w:t>
      </w:r>
      <w:r>
        <w:rPr>
          <w:rFonts w:ascii="Times New Roman" w:hAnsi="Times New Roman" w:eastAsia="宋体" w:cs="Times New Roman"/>
          <w:b/>
          <w:bCs/>
          <w:color w:val="333333"/>
          <w:kern w:val="0"/>
          <w:sz w:val="24"/>
          <w:szCs w:val="24"/>
          <w:highlight w:val="none"/>
        </w:rPr>
        <w:t>Exchange</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Members, clients, delivery warehouses, Designated Quality Inspection Agencies, and other participants of the futures market shall comply with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Trading</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contract size of 20 metric tons/lot.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price quotation of Chinese Yuan (RMB)/metric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minimum price fluctuation of 1 yuan/metric ton.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the following delivery months: January, March, May, July, September, November.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minimum order size of 1 lot, maximum order size of 1,000 lots for limit orders, and maximum order size of 200 lots for market orders.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Exchange may adjust the minimum order size, maximum limit order size, and maximum market order size based on market conditions. The specific thresholds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 xml:space="preserve">RI contract has the following trading hours: 9:00 – 11:30 and </w:t>
      </w:r>
      <w:r>
        <w:rPr>
          <w:rFonts w:hint="eastAsia" w:ascii="Times New Roman" w:hAnsi="Times New Roman" w:eastAsia="宋体" w:cs="Times New Roman"/>
          <w:color w:val="333333"/>
          <w:kern w:val="0"/>
          <w:sz w:val="24"/>
          <w:szCs w:val="24"/>
          <w:highlight w:val="none"/>
        </w:rPr>
        <w:t>13</w:t>
      </w:r>
      <w:r>
        <w:rPr>
          <w:rFonts w:ascii="Times New Roman" w:hAnsi="Times New Roman" w:eastAsia="宋体" w:cs="Times New Roman"/>
          <w:color w:val="333333"/>
          <w:kern w:val="0"/>
          <w:sz w:val="24"/>
          <w:szCs w:val="24"/>
          <w:highlight w:val="none"/>
        </w:rPr>
        <w:t xml:space="preserve">:30 – </w:t>
      </w:r>
      <w:r>
        <w:rPr>
          <w:rFonts w:hint="eastAsia" w:ascii="Times New Roman" w:hAnsi="Times New Roman" w:eastAsia="宋体" w:cs="Times New Roman"/>
          <w:color w:val="333333"/>
          <w:kern w:val="0"/>
          <w:sz w:val="24"/>
          <w:szCs w:val="24"/>
          <w:highlight w:val="none"/>
        </w:rPr>
        <w:t>15</w:t>
      </w:r>
      <w:r>
        <w:rPr>
          <w:rFonts w:ascii="Times New Roman" w:hAnsi="Times New Roman" w:eastAsia="宋体" w:cs="Times New Roman"/>
          <w:color w:val="333333"/>
          <w:kern w:val="0"/>
          <w:sz w:val="24"/>
          <w:szCs w:val="24"/>
          <w:highlight w:val="none"/>
        </w:rPr>
        <w:t>:00, with a break at 10:15 – 10:30.</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Exchange announces the creation of a night session for the RI contract, the trading hours specified in that announcement shall prevail. The Exchange may suspend, cancel, or adjust the trading hours of the night session for RI contract based on market conditions, the specifics of which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the following Last Trading Day: the 10th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the following product code: RI.</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1</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General Rules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may be delivered by exchange of futures for physical and standard delivery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Rolling Delivery for RI is conducted through Response Matching.</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specific delivery procedures are governed by the applicable provisions of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Futures Delivery Rules of Zhengzhou Commodity Exchange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these</w:t>
      </w:r>
      <w:r>
        <w:rPr>
          <w:rFonts w:hint="eastAsia" w:ascii="Times New Roman" w:hAnsi="Times New Roman" w:eastAsia="宋体" w:cs="Times New Roman"/>
          <w:i/>
          <w:iCs/>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delivery unit of 20 metric tons.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the following Last Delivery Day: the 13th trading day of the delivery month.</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standard warehouse receipts for RI are all standard delivery warehouse receipts.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standard warehouse receipts for RI are all general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Standard warehouse receipts for RI registered on or after August 1 of a given year are valid till the last business day (inclusive) in July of the next year.</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Delivery of RI shall be made against a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warehouses for RI and the relevant premiums and discounts are determined and published by, and subject to the adjustment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premium or discount for the substitute deliverable and for a delivery warehouse for RI is transferred when the corresponding standard warehouse receipts are registered or cancelled; the corresponding special VAT invoice shall be issued by the registrant to the cancelling party under the supervision of the delivery warehouse. The delivery warehouse will collect a deposit based on the applicable VAT rate, which deposit shall be returned following the issuance of the special VAT invoice.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19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delivery price of RI is the tax-included price (excluding packaging fees) at which the benchmark deliverable is delivered at a benchmark delivery warehouse as a bulk product.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a standard warehouse receipt for RI shall bear all the expenses incurred before the commodity is transported to the designated storage location in the delivery warehouse; the pick-up person shall bear all the expenses arising from moving the commodity from the designated storage location onto the truck, railcar, or ship.</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rates of delivery fees, storage fees, load-in and load-out fees, inspection fees, and other delivery-related fees will be separately announced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Early long-grain nonglutinous paddy is received, stored, and shipped in bulk. Any buyer that needs packaging shall do so itself or through a third party and solely bear the cost of the packaging materials and services.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in relation to the creation, negotiation, and cancellation of standard warehouse receipts for RI that is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are governed by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2</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Standard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delivery of RI is governed by national standards, the relevant national regulations, and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benchmark deliverable is early long-grain nonglutinous paddy meeting the quality standard for “Grade 3” or above under</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National Standard of the People’s Republic of China “Paddy”</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(GB 1350-2009).</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substitute deliverables and their premiums and discounts are as follows: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load-in: If moisture content (MC) ≤ 13.5%, load-in is at full weight without weight penalty. If 13.5% &lt; MC ≤ 14.5%, load-in is at a 0.2% weight penalty for every 0.1% above 13.5%. At load-out: If MC &lt; 13.5%, load-out is at full weight without weight penalty. If 13.5% &lt; MC ≤ 14.5%, load-out requires a 0.2% weight compensation for every 0.1% above 13.5%, to be made up by the delivery warehouse. This item only applies to delivery at delivery warehouses in the major producing areas of Jiangxi, Hunan, and Hubei.</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If 1.0% &lt; extraneous matter ≤ 1.5%, load-in is at a 0.5% weight penalty and load-out requires a 0.5% weight compensation. If 1.5% &lt; extraneous matter ≤ 2.0%, load-in is at a 1.0% weight penalty and load-out requires a 1.0% weight compensation.</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fatty acid value and yellow kernel percentage at load-in and load-out shall meet the following standards:</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load-in, fatty acid value ≤ 19 mg/100g (dry basis) and yellow kernel ≤ 0.5% (no premium or discount). At load-out, fatty acid value ≤ 22 mg/100g (dry basis) and yellow kernel &lt; 0.7%.</w:t>
      </w:r>
    </w:p>
    <w:p>
      <w:pPr>
        <w:widowControl/>
        <w:spacing w:after="312" w:afterLines="100" w:line="276" w:lineRule="auto"/>
        <w:ind w:left="1440" w:hanging="72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At load-in, 19 mg/100g (dry basis) &lt; fatty acid value ≤ 25 mg/100g (dry basis) and yellow kernel ≤ 0.7% may be used as a substitute deliverable, the premiums and discounts for which will be separately announced by the Exchange. At load-out, fatty acid value ≤ 28 mg/100g (dry basis) and yellow kernel ≤ 1.0%.</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Section 3</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Delivery with Standard Delivery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load-in deposit of RMB 30 yuan/metric ton shall be paid to the delivery warehouse at the submission of a delivery intention for RI.</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Notice issued by an RI delivery warehouse is valid for forty (40) calendar days.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29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 delivery warehouse conducts weight inspection on early long-grain nonglutinous paddy at load-in. The weight inspection is conducted with the vehicle driving over a truck scale at the delivery warehouse.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load-in quality inspection of early long-grain nonglutinous paddy is organized by the delivery warehouse. Samples for the load-in inspection are taken by the delivery warehouse before unloading. No standard warehouse receipt shall be registered for any commodity found during the inspection to be incompliant with the standards for delivery. A delivery warehouse may entrust the inspection partially or wholly to a Designated Quality Inspection Agency. The inspection fees shall be borne by the delivery warehouse.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delivery warehouse shall issue the results of inspection within twenty-four (24) hours of completion of sampling for each shipment, and notify the registrant in a timely manner.</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registrant that objects to the results of load-in quality inspection may request the Exchange for a re-inspection. The specific procedures are governed by the “Load-in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food safety inspection of early long-grain nonglutinous paddy is governed by the relevant national standards and regulations, the cost of which shall be borne by the registrant of the standard warehouse receipts.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In the event that the early long-grain nonglutinous paddy at load-in falls short of the standards for delivery, the delivery warehouse may provide sorting services with the approval of the registrant.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registrant of standard warehouse receipts shall be present at the weight inspection and load-in sampling of early long-grain nonglutinous paddy to monitor the process. The delivery warehouse and the registrant shall confirm the inspection results with their signatures and seals and are jointly responsible for the quality of the commodity loaded in. Any commodity without the signatures and seals of the delivery warehouse and registrant shall not be delivered against futures products.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After the commodity is loaded in, the delivery warehouse shall record in a file such information as the name, contact person, and contact information of the registrant; load-in quantity; and the storehouse and stack location, which information shall be confirmed by the registrant with signature.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Upon the cancellation of a standard delivery warehouse receipt for early long-grain nonglutinous paddy, the pick-up person shall, within ten (10) business days after the Exchange issues the Pick-up Notice, visit the delivery warehouse to complete the pick-up procedures with his ID card, certificate of identity and authority issued by his employer, and the verification code for the Pick-up Notice; verify the quality of the commodity and determine the means of transport; and pay the applicable fees in advance.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provides his own transport vehicles, the delivery warehouse shall, as of the date that it is visited by the pick-up person with the Pick-up Notice to arrange for the load-out and the transport vehicles arrive at the delivery warehouse, begin the shipping process and stop charging the storage fees for any commodity already loaded onto such transport vehicles.</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Where the pick-up person requests the delivery warehouse to handle the transport of the commodity, the delivery warehouse shall ship the commodity within ten (10) calendar days by trucks or ships or twenty (20) calendar days by railcars from the day when the pick-up person contacts the delivery warehouse with the Pick-up Notice to arrange for the load-out, designates the destination, and pays the relevant fees (including but not limited to rail freight forwarding charges and terminal handling charges) in advance. Any delivery warehouse that is not able to ship the commodity within the prescribed time limit may not charge storage fees for the period after the time limit.</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shipping time limit in the preceding paragraph does not apply if shipment is delayed due to such reasons as a change of the means of transport or shipment date by the pick-up person, missing pick-up documentations, late payment of relevant fees, or special shipping instructions.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35</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load-out weight inspection of early long-grain nonglutinous paddy shall be jointly conducted by the delivery warehouse and the pick-up person in reference to the rules on load-in weight inspection.</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Any quantity shortage at load-out shall be made up by the delivery warehouse in a timely manner based on the specified load-out quantity; failing which, the delivery warehouse shall compensate the pick-up person for the price of the missing commodity based on the highest final settlement price of the RI contract in the nearby month up to and including the date the Pick-up Notice is issued.</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36</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pick-up person that objects to the quality of the early long-grain nonglutinous paddy at load-out may request the Exchange for a one-time re-inspection with the payment of the re-inspection fees in advance. Such objection shall be raised within ten (10) business days after the Pick-up Notice is issued. The specific procedures are governed by the “Load-out Re-inspection of Delivery Warehouse Commodities” section under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Standard Warehouse Receipts</w:t>
      </w:r>
      <w:r>
        <w:rPr>
          <w:rFonts w:ascii="Times New Roman" w:hAnsi="Times New Roman" w:eastAsia="宋体" w:cs="Times New Roman"/>
          <w:color w:val="333333"/>
          <w:kern w:val="0"/>
          <w:sz w:val="24"/>
          <w:szCs w:val="24"/>
          <w:highlight w:val="none"/>
        </w:rPr>
        <w:t>.</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4</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Risk Management</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37</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minimum Trading Margin rate of 5% of contract value.</w:t>
      </w:r>
    </w:p>
    <w:p>
      <w:pPr>
        <w:widowControl/>
        <w:spacing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The Trading Margin rate of RI contract varies as follows:</w:t>
      </w:r>
    </w:p>
    <w:tbl>
      <w:tblPr>
        <w:tblStyle w:val="4"/>
        <w:tblW w:w="0" w:type="auto"/>
        <w:tblInd w:w="1440" w:type="dxa"/>
        <w:tblLayout w:type="autofit"/>
        <w:tblCellMar>
          <w:top w:w="0" w:type="dxa"/>
          <w:left w:w="0" w:type="dxa"/>
          <w:bottom w:w="0" w:type="dxa"/>
          <w:right w:w="0" w:type="dxa"/>
        </w:tblCellMar>
      </w:tblPr>
      <w:tblGrid>
        <w:gridCol w:w="4353"/>
        <w:gridCol w:w="2729"/>
      </w:tblGrid>
      <w:tr>
        <w:tblPrEx>
          <w:tblCellMar>
            <w:top w:w="0" w:type="dxa"/>
            <w:left w:w="0" w:type="dxa"/>
            <w:bottom w:w="0" w:type="dxa"/>
            <w:right w:w="0" w:type="dxa"/>
          </w:tblCellMar>
        </w:tblPrEx>
        <w:tc>
          <w:tcPr>
            <w:tcW w:w="467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290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Margin rate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5%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10% of contract value</w:t>
            </w:r>
          </w:p>
        </w:tc>
      </w:tr>
      <w:tr>
        <w:tblPrEx>
          <w:tblCellMar>
            <w:top w:w="0" w:type="dxa"/>
            <w:left w:w="0" w:type="dxa"/>
            <w:bottom w:w="0" w:type="dxa"/>
            <w:right w:w="0" w:type="dxa"/>
          </w:tblCellMar>
        </w:tblPrEx>
        <w:tc>
          <w:tcPr>
            <w:tcW w:w="467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290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 of contract value</w:t>
            </w:r>
          </w:p>
        </w:tc>
      </w:tr>
    </w:tbl>
    <w:p>
      <w:pPr>
        <w:widowControl/>
        <w:spacing w:before="312" w:beforeLines="100"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38</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RI contract has a price limit of ±4% of the settlement price of the preceding trading day.</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39</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position limit of a particular RI contract varies as follows:</w:t>
      </w:r>
    </w:p>
    <w:tbl>
      <w:tblPr>
        <w:tblStyle w:val="4"/>
        <w:tblW w:w="0" w:type="auto"/>
        <w:tblInd w:w="1435" w:type="dxa"/>
        <w:tblLayout w:type="autofit"/>
        <w:tblCellMar>
          <w:top w:w="0" w:type="dxa"/>
          <w:left w:w="0" w:type="dxa"/>
          <w:bottom w:w="0" w:type="dxa"/>
          <w:right w:w="0" w:type="dxa"/>
        </w:tblCellMar>
      </w:tblPr>
      <w:tblGrid>
        <w:gridCol w:w="3916"/>
        <w:gridCol w:w="3171"/>
      </w:tblGrid>
      <w:tr>
        <w:tblPrEx>
          <w:tblCellMar>
            <w:top w:w="0" w:type="dxa"/>
            <w:left w:w="0" w:type="dxa"/>
            <w:bottom w:w="0" w:type="dxa"/>
            <w:right w:w="0" w:type="dxa"/>
          </w:tblCellMar>
        </w:tblPrEx>
        <w:tc>
          <w:tcPr>
            <w:tcW w:w="420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Trading period</w:t>
            </w:r>
          </w:p>
        </w:tc>
        <w:tc>
          <w:tcPr>
            <w:tcW w:w="335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b/>
                <w:bCs/>
                <w:kern w:val="0"/>
                <w:sz w:val="22"/>
                <w:highlight w:val="none"/>
              </w:rPr>
              <w:t>Maximum long position or short position held by a non-futures brokerage Member or client (lot)</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listing to the 15th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7,500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From the 16th calendar day to the last calendar day of the month preceding the 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2,000</w:t>
            </w:r>
          </w:p>
        </w:tc>
      </w:tr>
      <w:tr>
        <w:tblPrEx>
          <w:tblCellMar>
            <w:top w:w="0" w:type="dxa"/>
            <w:left w:w="0" w:type="dxa"/>
            <w:bottom w:w="0" w:type="dxa"/>
            <w:right w:w="0" w:type="dxa"/>
          </w:tblCellMar>
        </w:tblPrEx>
        <w:tc>
          <w:tcPr>
            <w:tcW w:w="420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Delivery month</w:t>
            </w:r>
          </w:p>
        </w:tc>
        <w:tc>
          <w:tcPr>
            <w:tcW w:w="335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400</w:t>
            </w:r>
          </w:p>
          <w:p>
            <w:pPr>
              <w:widowControl/>
              <w:spacing w:before="60" w:after="60"/>
              <w:jc w:val="center"/>
              <w:rPr>
                <w:rFonts w:ascii="Times New Roman" w:hAnsi="Times New Roman" w:eastAsia="宋体" w:cs="Times New Roman"/>
                <w:kern w:val="0"/>
                <w:sz w:val="24"/>
                <w:szCs w:val="24"/>
                <w:highlight w:val="none"/>
              </w:rPr>
            </w:pPr>
            <w:r>
              <w:rPr>
                <w:rFonts w:ascii="Times New Roman" w:hAnsi="Times New Roman" w:eastAsia="宋体" w:cs="Times New Roman"/>
                <w:kern w:val="0"/>
                <w:sz w:val="22"/>
                <w:highlight w:val="none"/>
              </w:rPr>
              <w:t>(0 for individuals)</w:t>
            </w:r>
          </w:p>
        </w:tc>
      </w:tr>
    </w:tbl>
    <w:p>
      <w:pPr>
        <w:widowControl/>
        <w:spacing w:before="312" w:beforeLines="100" w:after="312" w:afterLines="100" w:line="276" w:lineRule="auto"/>
        <w:ind w:left="1440"/>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“Position limit” as used in this Article refers to the maximum size of speculative positions (calculated on a single-counted basis) in a given futures contract that a Member or client is permitted to hold by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40</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Where the Exchange adjusts the Trading Margin rate or price limit of RI contract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Risk Control Rules of Zhengzhou Commodity Exchange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or other rules, such adjusted values shall prevail.</w:t>
      </w:r>
    </w:p>
    <w:p>
      <w:pPr>
        <w:widowControl/>
        <w:spacing w:after="312" w:afterLines="100" w:line="276" w:lineRule="auto"/>
        <w:ind w:left="1440" w:hanging="1440"/>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Chapter 5</w:t>
      </w:r>
      <w:r>
        <w:rPr>
          <w:rFonts w:ascii="Times New Roman" w:hAnsi="Times New Roman" w:eastAsia="等线"/>
          <w:b/>
          <w:bCs/>
          <w:kern w:val="0"/>
          <w:sz w:val="24"/>
          <w:szCs w:val="24"/>
          <w:highlight w:val="none"/>
        </w:rPr>
        <w:tab/>
      </w:r>
      <w:r>
        <w:rPr>
          <w:rFonts w:ascii="Times New Roman" w:hAnsi="Times New Roman" w:eastAsia="宋体" w:cs="Times New Roman"/>
          <w:b/>
          <w:bCs/>
          <w:color w:val="333333"/>
          <w:kern w:val="0"/>
          <w:sz w:val="24"/>
          <w:szCs w:val="24"/>
          <w:highlight w:val="none"/>
        </w:rPr>
        <w:t>Ancillary Provisions</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41</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violation of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will be handled in accordance with the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Rules of Zhengzhou Commodity Exchange on Violations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and other applicable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42</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Any matter not covered by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is governed by the relevant Rules of the Exchange.</w:t>
      </w:r>
    </w:p>
    <w:p>
      <w:pPr>
        <w:widowControl/>
        <w:spacing w:after="312" w:afterLines="1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43</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 Exchange reserves the right to interpret 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ascii="Times New Roman" w:hAnsi="Times New Roman" w:eastAsia="宋体" w:cs="Times New Roman"/>
          <w:color w:val="333333"/>
          <w:kern w:val="0"/>
          <w:sz w:val="24"/>
          <w:szCs w:val="24"/>
          <w:highlight w:val="none"/>
        </w:rPr>
        <w:t>.</w:t>
      </w:r>
    </w:p>
    <w:p>
      <w:pPr>
        <w:widowControl/>
        <w:spacing w:after="1248" w:afterLines="400" w:line="276" w:lineRule="auto"/>
        <w:ind w:left="1440" w:hanging="1440"/>
        <w:rPr>
          <w:rFonts w:ascii="Times New Roman" w:hAnsi="Times New Roman" w:eastAsia="宋体" w:cs="Times New Roman"/>
          <w:color w:val="333333"/>
          <w:kern w:val="0"/>
          <w:sz w:val="24"/>
          <w:szCs w:val="24"/>
          <w:highlight w:val="none"/>
        </w:rPr>
      </w:pPr>
      <w:r>
        <w:rPr>
          <w:rFonts w:ascii="Times New Roman" w:hAnsi="Times New Roman" w:eastAsia="宋体" w:cs="Times New Roman"/>
          <w:b/>
          <w:bCs/>
          <w:color w:val="333333"/>
          <w:kern w:val="0"/>
          <w:sz w:val="24"/>
          <w:szCs w:val="24"/>
          <w:highlight w:val="none"/>
        </w:rPr>
        <w:t>Article 44</w:t>
      </w:r>
      <w:r>
        <w:rPr>
          <w:rFonts w:ascii="Times New Roman" w:hAnsi="Times New Roman" w:eastAsia="等线"/>
          <w:b/>
          <w:bCs/>
          <w:kern w:val="0"/>
          <w:sz w:val="24"/>
          <w:szCs w:val="24"/>
          <w:highlight w:val="none"/>
        </w:rPr>
        <w:tab/>
      </w:r>
      <w:r>
        <w:rPr>
          <w:rFonts w:ascii="Times New Roman" w:hAnsi="Times New Roman" w:eastAsia="宋体" w:cs="Times New Roman"/>
          <w:color w:val="333333"/>
          <w:kern w:val="0"/>
          <w:sz w:val="24"/>
          <w:szCs w:val="24"/>
          <w:highlight w:val="none"/>
        </w:rPr>
        <w:t>These</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i/>
          <w:iCs/>
          <w:color w:val="333333"/>
          <w:kern w:val="0"/>
          <w:sz w:val="24"/>
          <w:szCs w:val="24"/>
          <w:highlight w:val="none"/>
        </w:rPr>
        <w:t>Detailed Rules</w:t>
      </w:r>
      <w:r>
        <w:rPr>
          <w:rFonts w:hint="eastAsia" w:ascii="Times New Roman" w:hAnsi="Times New Roman" w:eastAsia="宋体" w:cs="Times New Roman"/>
          <w:color w:val="333333"/>
          <w:kern w:val="0"/>
          <w:sz w:val="24"/>
          <w:szCs w:val="24"/>
          <w:highlight w:val="none"/>
        </w:rPr>
        <w:t xml:space="preserve"> </w:t>
      </w:r>
      <w:r>
        <w:rPr>
          <w:rFonts w:ascii="Times New Roman" w:hAnsi="Times New Roman" w:eastAsia="宋体" w:cs="Times New Roman"/>
          <w:color w:val="333333"/>
          <w:kern w:val="0"/>
          <w:sz w:val="24"/>
          <w:szCs w:val="24"/>
          <w:highlight w:val="none"/>
        </w:rPr>
        <w:t xml:space="preserve">take effect on </w:t>
      </w:r>
      <w:r>
        <w:rPr>
          <w:rFonts w:hint="eastAsia" w:ascii="Times New Roman" w:hAnsi="Times New Roman" w:eastAsia="等线"/>
          <w:kern w:val="0"/>
          <w:sz w:val="24"/>
          <w:szCs w:val="24"/>
          <w:highlight w:val="none"/>
          <w:lang w:val="en-US" w:eastAsia="zh-CN"/>
        </w:rPr>
        <w:t>February</w:t>
      </w:r>
      <w:r>
        <w:rPr>
          <w:rFonts w:hint="eastAsia" w:ascii="Times New Roman" w:hAnsi="Times New Roman" w:eastAsia="等线"/>
          <w:kern w:val="0"/>
          <w:sz w:val="24"/>
          <w:szCs w:val="24"/>
          <w:highlight w:val="none"/>
        </w:rPr>
        <w:t xml:space="preserve"> </w:t>
      </w:r>
      <w:r>
        <w:rPr>
          <w:rFonts w:hint="eastAsia" w:ascii="Times New Roman" w:hAnsi="Times New Roman" w:eastAsia="等线"/>
          <w:kern w:val="0"/>
          <w:sz w:val="24"/>
          <w:szCs w:val="24"/>
          <w:highlight w:val="none"/>
          <w:lang w:val="en-US" w:eastAsia="zh-CN"/>
        </w:rPr>
        <w:t>6</w:t>
      </w:r>
      <w:bookmarkStart w:id="0" w:name="_GoBack"/>
      <w:bookmarkEnd w:id="0"/>
      <w:r>
        <w:rPr>
          <w:rFonts w:ascii="Times New Roman" w:hAnsi="Times New Roman" w:eastAsia="等线"/>
          <w:kern w:val="0"/>
          <w:sz w:val="24"/>
          <w:szCs w:val="24"/>
          <w:highlight w:val="none"/>
        </w:rPr>
        <w:t>, 202</w:t>
      </w:r>
      <w:r>
        <w:rPr>
          <w:rFonts w:hint="eastAsia" w:ascii="Times New Roman" w:hAnsi="Times New Roman" w:eastAsia="等线"/>
          <w:kern w:val="0"/>
          <w:sz w:val="24"/>
          <w:szCs w:val="24"/>
          <w:highlight w:val="none"/>
        </w:rPr>
        <w:t>4</w:t>
      </w:r>
      <w:r>
        <w:rPr>
          <w:rFonts w:ascii="Times New Roman" w:hAnsi="Times New Roman" w:eastAsia="等线"/>
          <w:kern w:val="0"/>
          <w:sz w:val="24"/>
          <w:szCs w:val="24"/>
          <w:highlight w:val="none"/>
        </w:rPr>
        <w:t>.</w:t>
      </w:r>
    </w:p>
    <w:p>
      <w:pPr>
        <w:widowControl/>
        <w:spacing w:after="312" w:afterLines="100" w:line="276" w:lineRule="auto"/>
        <w:jc w:val="center"/>
        <w:rPr>
          <w:rFonts w:ascii="Times New Roman" w:hAnsi="Times New Roman" w:eastAsia="宋体" w:cs="Times New Roman"/>
          <w:color w:val="333333"/>
          <w:kern w:val="0"/>
          <w:sz w:val="24"/>
          <w:szCs w:val="24"/>
          <w:highlight w:val="none"/>
        </w:rPr>
      </w:pPr>
      <w:r>
        <w:rPr>
          <w:rFonts w:ascii="Times New Roman" w:hAnsi="Times New Roman" w:eastAsia="宋体" w:cs="Times New Roman"/>
          <w:color w:val="333333"/>
          <w:kern w:val="0"/>
          <w:sz w:val="24"/>
          <w:szCs w:val="24"/>
          <w:highlight w:val="none"/>
        </w:rPr>
        <w:t>(This English version is for reference ONLY. In case of any inconsistency between the different language versions, the Chinese version prevails.)</w:t>
      </w:r>
    </w:p>
    <w:p>
      <w:pPr>
        <w:spacing w:after="312" w:afterLines="100" w:line="276" w:lineRule="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2F8"/>
    <w:rsid w:val="000049B3"/>
    <w:rsid w:val="00007ED4"/>
    <w:rsid w:val="001410A1"/>
    <w:rsid w:val="00155C7A"/>
    <w:rsid w:val="00226930"/>
    <w:rsid w:val="003A2900"/>
    <w:rsid w:val="005649E0"/>
    <w:rsid w:val="006D34AA"/>
    <w:rsid w:val="0077287D"/>
    <w:rsid w:val="007D4F4A"/>
    <w:rsid w:val="00877DD6"/>
    <w:rsid w:val="009B7914"/>
    <w:rsid w:val="00AD7987"/>
    <w:rsid w:val="00BA6927"/>
    <w:rsid w:val="00E002F8"/>
    <w:rsid w:val="F75305B7"/>
    <w:rsid w:val="FFBF0276"/>
    <w:rsid w:val="FFFFE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hidden-xs"/>
    <w:basedOn w:val="5"/>
    <w:qFormat/>
    <w:uiPriority w:val="0"/>
  </w:style>
  <w:style w:type="character" w:customStyle="1" w:styleId="8">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2187</Words>
  <Characters>12466</Characters>
  <Lines>103</Lines>
  <Paragraphs>29</Paragraphs>
  <TotalTime>0</TotalTime>
  <ScaleCrop>false</ScaleCrop>
  <LinksUpToDate>false</LinksUpToDate>
  <CharactersWithSpaces>14624</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2024-01-24T08:47:00Z</dcterms:created>
  <dc:creator>李柯颖</dc:creator>
  <cp:lastModifiedBy>管玉箫</cp:lastModifiedBy>
  <dcterms:modified xsi:type="dcterms:W3CDTF">2024-02-02T14:17:11Z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CD8BF39CBADE28ECBB97B865F94973E4</vt:lpwstr>
  </property>
</Properties>
</file>