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Urea Futures</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i/>
          <w:iCs/>
          <w:color w:val="333333"/>
          <w:kern w:val="0"/>
          <w:sz w:val="24"/>
          <w:szCs w:val="24"/>
        </w:rPr>
        <w:t xml:space="preserve"> </w:t>
      </w:r>
      <w:r>
        <w:rPr>
          <w:rFonts w:ascii="Times New Roman" w:hAnsi="Times New Roman" w:eastAsia="宋体" w:cs="Times New Roman"/>
          <w:color w:val="333333"/>
          <w:kern w:val="0"/>
          <w:sz w:val="24"/>
          <w:szCs w:val="24"/>
        </w:rPr>
        <w:t>are made in accordance with the</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i/>
          <w:iCs/>
          <w:color w:val="333333"/>
          <w:kern w:val="0"/>
          <w:sz w:val="24"/>
          <w:szCs w:val="24"/>
        </w:rPr>
        <w:t>Trading Rules of Zhengzhou Commodity Exchange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and the urea futures (“</w:t>
      </w:r>
      <w:r>
        <w:rPr>
          <w:rFonts w:ascii="Times New Roman" w:hAnsi="Times New Roman" w:eastAsia="宋体" w:cs="Times New Roman"/>
          <w:b/>
          <w:bCs/>
          <w:color w:val="333333"/>
          <w:kern w:val="0"/>
          <w:sz w:val="24"/>
          <w:szCs w:val="24"/>
        </w:rPr>
        <w:t>UR</w:t>
      </w:r>
      <w:r>
        <w:rPr>
          <w:rFonts w:ascii="Times New Roman" w:hAnsi="Times New Roman" w:eastAsia="宋体" w:cs="Times New Roman"/>
          <w:color w:val="333333"/>
          <w:kern w:val="0"/>
          <w:sz w:val="24"/>
          <w:szCs w:val="24"/>
        </w:rPr>
        <w:t>”) contract to regulate UR-related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The Exchange, Members, clients, delivery warehouses, factory warehouses, Designated Quality Inspection Agencies, and other participants of the futures market shall comply with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2</w:t>
      </w:r>
      <w: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UR contract has a contract size of 20 metric tons/lot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UR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UR contract has a minimum price fluctuation of 1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UR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UR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shd w:val="clear" w:color="auto" w:fill="FFFFFF"/>
        </w:rPr>
        <w:t>The Exchange may adjust the minimum order size, maximum limit order size, and maximum market order size based on market conditions. The specific thresholds will be separately announced by the Exchange</w:t>
      </w:r>
      <w:r>
        <w:rPr>
          <w:rFonts w:hint="eastAsia" w:ascii="Times New Roman" w:hAnsi="Times New Roman" w:eastAsia="宋体" w:cs="Times New Roman"/>
          <w:color w:val="333333"/>
          <w:kern w:val="0"/>
          <w:sz w:val="24"/>
          <w:szCs w:val="24"/>
          <w:shd w:val="clear" w:color="auto" w:fill="FFFFFF"/>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UR contract has the following trading hours: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:30</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 xml:space="preserve">–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hint="eastAsia" w:ascii="Times New Roman" w:hAnsi="Times New Roman" w:eastAsia="等线" w:cs="Times New Roman"/>
          <w:color w:val="333333"/>
          <w:kern w:val="0"/>
          <w:sz w:val="24"/>
          <w:szCs w:val="24"/>
        </w:rPr>
        <w:t>Where the Exchange announces the creation of a night session for the UR contract, the trading hours specified in that announcement shall prevail. The Exchange may suspend, cancel, or adjust the trading hours of the night session for UR contract based on market conditions, the specifics of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UR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UR contract has the following product code: UR.</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3</w:t>
      </w:r>
      <w: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1</w:t>
      </w:r>
      <w: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hint="eastAsia" w:ascii="Times New Roman" w:hAnsi="Times New Roman" w:eastAsia="等线" w:cs="Times New Roman"/>
          <w:color w:val="333333"/>
          <w:kern w:val="0"/>
          <w:sz w:val="24"/>
          <w:szCs w:val="24"/>
        </w:rPr>
        <w:t>UR may be delivered by exchange of futures for physical, delivery with standard delivery warehouse receipts, and delivery with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hint="eastAsia" w:ascii="Times New Roman" w:hAnsi="Times New Roman" w:eastAsia="等线" w:cs="Times New Roman"/>
          <w:color w:val="333333"/>
          <w:kern w:val="0"/>
          <w:sz w:val="24"/>
          <w:szCs w:val="24"/>
        </w:rPr>
        <w:t>Rolling Delivery for UR is conducted through Response Matching.</w:t>
      </w:r>
      <w:r>
        <w:rPr>
          <w:rFonts w:ascii="Times New Roman" w:hAnsi="Times New Roman" w:eastAsia="宋体" w:cs="Times New Roman"/>
          <w:color w:val="333333"/>
          <w:kern w:val="0"/>
          <w:sz w:val="24"/>
          <w:szCs w:val="24"/>
        </w:rPr>
        <w:t xml:space="preserve">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specific delivery procedures are governed by the applicable provisions of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Futures Delivery Rules of Zhengzhou Commodity Exchange</w:t>
      </w:r>
      <w:r>
        <w:rPr>
          <w:rFonts w:hint="eastAsia" w:ascii="微软雅黑" w:hAnsi="微软雅黑" w:eastAsia="微软雅黑" w:cs="Times New Roman"/>
          <w:i/>
          <w:iCs/>
          <w:color w:val="333333"/>
          <w:kern w:val="0"/>
          <w:sz w:val="24"/>
          <w:szCs w:val="24"/>
        </w:rPr>
        <w:t xml:space="preserve"> </w:t>
      </w:r>
      <w:r>
        <w:rPr>
          <w:rFonts w:ascii="Times New Roman" w:hAnsi="Times New Roman" w:eastAsia="宋体" w:cs="Times New Roman"/>
          <w:color w:val="333333"/>
          <w:kern w:val="0"/>
          <w:sz w:val="24"/>
          <w:szCs w:val="24"/>
        </w:rPr>
        <w:t>and these</w:t>
      </w:r>
      <w:r>
        <w:rPr>
          <w:rFonts w:hint="eastAsia" w:ascii="微软雅黑" w:hAnsi="微软雅黑" w:eastAsia="微软雅黑" w:cs="Times New Roman"/>
          <w:i/>
          <w:iCs/>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UR contract has a delivery unit of twenty (20) metric tons (net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UR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UR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UR are all non-general standard warehouse receipts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urea registered on or before the 15th trading day of February, June, or October of each year shall be cancelled on or before the 15th trading day of February, June, or October of the same year</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UR shall be made against a special VAT invoice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and factory warehouses for UR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benchmark delivery price of UR is the tax-included price (including packaging fees) at which the benchmark deliverable is delivered through a load-out from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r>
        <w:rPr>
          <w:rFonts w:hint="eastAsia" w:ascii="Times New Roman" w:hAnsi="Times New Roman" w:eastAsia="等线"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hint="eastAsia" w:ascii="Times New Roman" w:hAnsi="Times New Roman" w:eastAsia="等线" w:cs="Times New Roman"/>
          <w:color w:val="333333"/>
          <w:kern w:val="0"/>
          <w:sz w:val="24"/>
          <w:szCs w:val="24"/>
        </w:rPr>
        <w:t>The cost of packaging materials for urea is included in the price of the corresponding futures contract and is not charged separately</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Any matter in relation to the creation, negotiation, and cancellation of standard warehouse receipts for UR that is not covered by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is governed by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The delivery of UR is governed by national standards and these</w:t>
      </w:r>
      <w:r>
        <w:rPr>
          <w:rFonts w:hint="eastAsia" w:ascii="微软雅黑" w:hAnsi="微软雅黑" w:eastAsia="微软雅黑" w:cs="Times New Roman"/>
          <w:color w:val="333333"/>
          <w:kern w:val="0"/>
          <w:sz w:val="24"/>
          <w:szCs w:val="24"/>
        </w:rPr>
        <w:t> </w:t>
      </w:r>
      <w:r>
        <w:rPr>
          <w:rFonts w:ascii="Times New Roman" w:hAnsi="Times New Roman" w:eastAsia="宋体" w:cs="Times New Roman"/>
          <w:i/>
          <w:iCs/>
          <w:color w:val="333333"/>
          <w:kern w:val="0"/>
          <w:sz w:val="24"/>
          <w:szCs w:val="24"/>
        </w:rPr>
        <w:t>Detailed Rules</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The benchmark deliverable is “Premier Grade” prilled fertilizer urea conforming to the specifications of</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National Standard of the People’s Republic of China “Urea”</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(GB/T 2440-2017) with total nitrogen content ≥ 46%, biuret content ≤ 0.9%, moisture content ≤ 0.5%, methylene diurea ≤ 0.6%, and particle diameter 0.85-3.35 mm ≥ 93%</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substitute deliverable and premiums and discounts are as follows: prilled fertilizer urea conforming to GB 2440-2017 with total nitrogen content ≥ 45%, biuret content ≤ 1.5%, moisture content ≤ 1%, methylene diurea ≤ 0.6%, and particle diameter 0.85-3.35 mm ≥ 90% at a discount of RMB 20 yuan/metric ton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The packaging of deliverable urea shall conform to the specifications of</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National Standard of the People’s Republic of China “Packing of Solid Chemical Fertilizers”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(GB/T 8569). Urea shall be packaged in double-layer bags or composite plastic woven bags, with woven polypropylene bag as the outer layer and polyethylene film bag as the inner layer. The packaging shall markings that indicate the name and address of the manufacturer, product name, net weight, product grade, and particle size range. The net weight of urea in 25.0 kg, 40.0 kg, and 50.0 kg bags shall not be less than 25.0 kg, 40.0 kg, and 50.0 kg</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Each shipment of urea shall be produced by the same manufacturer and have the same packaging specifications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UR</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The Load-in Notice issued by a UR delivery warehouse is valid for forty (40) calendar days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At load-in, the registrant of the standard warehouse receipts shall provide the delivery warehouse with the Certificate of Quality issued by the manufacturer of the current shipment of urea to certify that the product meets the standard for delivery. The Certificate of Quality shall indicate the name and address of the manufacturer, trademark, product type and grade, particle size, lot number, date of production, applicable quality standards, and quality inspection results for the current shipment of product, among other information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No urea with a date of production beyond 150 days from the latest date of cancellation for standard warehouse receipts may be loaded in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urea that comes with damaged or wet packaging or shows signs of serious contamination, caking, or similar conditions may not be accepted by a delivery warehouse for load-in</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A delivery warehouse conducts weight inspection on urea at load-in. The weight inspection may be conducted through a combination of truck scale and weighing of randomly selected bags, or solely by weighing of randomly selected bags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The sampling, sample preparation, and quality inspection of the urea for load-in is to be conducted by a Designated Quality Inspection Agency in accordance with national standards. The relevant delivery warehouse shall provide cooperation and the inspection fees shall be borne by the registrant of the corresponding standard warehouse receipts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Designated Quality Inspection Agency shall issue and notify the delivery warehouse of the inspection results within three (3) business days of completing the sampling process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registrant or delivery warehouse that objects to the results of load-in quality inspection may request the Exchange for a re-inspection. The specific procedures are governed by the “Load-in Re-inspection of Delivery Warehouse Commodities” section under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hint="eastAsia" w:ascii="Times New Roman" w:hAnsi="Times New Roman" w:eastAsia="微软雅黑" w:cs="Times New Roman"/>
          <w:i/>
          <w:iCs/>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The Exchange may approve inspection-exempt brands for the deliverables of UR. The load-in quality inspection for urea may be waived for any load-in request directly submitted by an inspection-exempt brand, and for any other registrant that has submitted to the Exchange and delivery warehouse a Commitment of Quality that is issued by an inspection-exempt brand and conforms to the requirements of the Exchange. The list of inspection-exempt brands for urea will be separately announced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urea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urea,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hint="eastAsia" w:ascii="Times New Roman" w:hAnsi="Times New Roman" w:eastAsia="微软雅黑"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The load-out weight inspection of urea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hint="eastAsia" w:ascii="Times New Roman" w:hAnsi="Times New Roman" w:eastAsia="微软雅黑" w:cs="Times New Roman"/>
          <w:color w:val="333333"/>
          <w:kern w:val="0"/>
          <w:sz w:val="24"/>
          <w:szCs w:val="24"/>
        </w:rPr>
        <w:t>Any quantity shortage at load-out shall be made up by the delivery warehouse at load-out based on the specified load-out quantity; failing which, the delivery warehouse shall compensate the pick-up person for the price of the missing commodity based on the highest final settlement price of the UR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Any pick-up person that objects to the quality of the urea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Urea with 3‰ or less percentage of damaged or wet packaging or signs of serious contamination, caking, or similar conditions is deemed normal and shall not be refused by the pick-up person. The delivery warehouse is liable for compensation for any portion of urea beyond 3‰ with such conditions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The maximum number of standard warehouse receipts registerable by a UR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urea shall provide registration security in accordance with the rules of the Exchange before requesting to register standard warehouse receipts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Upon the cancellation of a standard factory warehouse receipt for urea,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The load-out weight inspection of urea from a factory warehouse shall be jointly conducted by the pick-up person and the factory warehouse, with the weight obtained by the factory warehouse being conclusive. Load-out shall be conducted without shortage in weight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delivery warehouse shall compensate the pick-up person for the price of the missing commodity based on the highest final settlement price of the UR contract in the nearby month up to and including the date the Pick-up Notice is issued</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the time of load-out, the factory warehouse shall present to the pick-up person the Certificate of Quality showing conformance with the standard for delivery, and take samples in the presence of the pick-up person before the commodity is loaded onto the buyer’s transport vehicles, which samples shall be jointly confirmed and then jointly sealed by the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urea that comes with damaged or wet packaging or shows signs of serious contamination, caking, or similar conditions may not be accepted or delivered by a factory warehouse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Only the previously retained samples may be used for re-inspection. The procedures for the re-inspection are governed by the “Load-out Re-inspection of Factory Warehouse Commodities” section under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UR contract in the nearby month × commodity quantity yet to be shipped × 120%</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Upon the completion of shipment and the Exchange’s written confirmation of the fulfillment of quality and weight obligations by the factory warehouse, the Exchange will return the properties or documents provided by the factory warehouse as security at the factory warehouse’s request</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4</w:t>
      </w:r>
      <w: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hint="eastAsia" w:ascii="Times New Roman" w:hAnsi="Times New Roman" w:eastAsia="等线" w:cs="Times New Roman"/>
          <w:b/>
          <w:bCs/>
          <w:color w:val="333333"/>
          <w:kern w:val="0"/>
          <w:sz w:val="24"/>
          <w:szCs w:val="24"/>
        </w:rPr>
        <w:t>8</w:t>
      </w:r>
      <w:r>
        <w:tab/>
      </w:r>
      <w:r>
        <w:rPr>
          <w:rFonts w:ascii="Times New Roman" w:hAnsi="Times New Roman" w:eastAsia="宋体" w:cs="Times New Roman"/>
          <w:color w:val="333333"/>
          <w:kern w:val="0"/>
          <w:sz w:val="24"/>
          <w:szCs w:val="24"/>
        </w:rPr>
        <w:t>UR contract has a minimum Trading Margin rate of 5% of contract value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UR contract varies as follows:</w:t>
      </w:r>
    </w:p>
    <w:tbl>
      <w:tblPr>
        <w:tblStyle w:val="6"/>
        <w:tblW w:w="0" w:type="auto"/>
        <w:tblInd w:w="1440" w:type="dxa"/>
        <w:tblLayout w:type="autofit"/>
        <w:tblCellMar>
          <w:top w:w="15" w:type="dxa"/>
          <w:left w:w="15" w:type="dxa"/>
          <w:bottom w:w="15" w:type="dxa"/>
          <w:right w:w="15" w:type="dxa"/>
        </w:tblCellMar>
      </w:tblPr>
      <w:tblGrid>
        <w:gridCol w:w="4353"/>
        <w:gridCol w:w="2729"/>
      </w:tblGrid>
      <w:tr>
        <w:tblPrEx>
          <w:tblCellMar>
            <w:top w:w="15" w:type="dxa"/>
            <w:left w:w="15" w:type="dxa"/>
            <w:bottom w:w="15" w:type="dxa"/>
            <w:right w:w="15"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CellMar>
            <w:top w:w="15" w:type="dxa"/>
            <w:left w:w="15" w:type="dxa"/>
            <w:bottom w:w="15" w:type="dxa"/>
            <w:right w:w="15"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CellMar>
            <w:top w:w="15" w:type="dxa"/>
            <w:left w:w="15" w:type="dxa"/>
            <w:bottom w:w="15" w:type="dxa"/>
            <w:right w:w="15"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CellMar>
            <w:top w:w="15" w:type="dxa"/>
            <w:left w:w="15" w:type="dxa"/>
            <w:bottom w:w="15" w:type="dxa"/>
            <w:right w:w="15"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 xml:space="preserve">Article </w:t>
      </w:r>
      <w:r>
        <w:rPr>
          <w:rFonts w:hint="eastAsia" w:ascii="Times New Roman" w:hAnsi="Times New Roman" w:eastAsia="等线" w:cs="Times New Roman"/>
          <w:b/>
          <w:bCs/>
          <w:color w:val="333333"/>
          <w:kern w:val="0"/>
          <w:sz w:val="24"/>
          <w:szCs w:val="24"/>
        </w:rPr>
        <w:t>49</w:t>
      </w:r>
      <w:r>
        <w:tab/>
      </w:r>
      <w:r>
        <w:rPr>
          <w:rFonts w:ascii="Times New Roman" w:hAnsi="Times New Roman" w:eastAsia="宋体" w:cs="Times New Roman"/>
          <w:color w:val="333333"/>
          <w:kern w:val="0"/>
          <w:sz w:val="24"/>
          <w:szCs w:val="24"/>
        </w:rPr>
        <w:t>UR contract has a price limit of ±4% of the settlement price of the preceding trading day</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等线" w:cs="Times New Roman"/>
          <w:b/>
          <w:bCs/>
          <w:color w:val="333333"/>
          <w:kern w:val="0"/>
          <w:sz w:val="24"/>
          <w:szCs w:val="24"/>
        </w:rPr>
        <w:t>0</w:t>
      </w:r>
      <w:r>
        <w:tab/>
      </w:r>
      <w:r>
        <w:rPr>
          <w:rFonts w:ascii="Times New Roman" w:hAnsi="Times New Roman" w:eastAsia="宋体" w:cs="Times New Roman"/>
          <w:color w:val="333333"/>
          <w:kern w:val="0"/>
          <w:sz w:val="24"/>
          <w:szCs w:val="24"/>
        </w:rPr>
        <w:t>The position limit of a particular UR contract varies as follows:</w:t>
      </w:r>
    </w:p>
    <w:tbl>
      <w:tblPr>
        <w:tblStyle w:val="6"/>
        <w:tblW w:w="0" w:type="auto"/>
        <w:tblInd w:w="1440" w:type="dxa"/>
        <w:tblLayout w:type="autofit"/>
        <w:tblCellMar>
          <w:top w:w="15" w:type="dxa"/>
          <w:left w:w="15" w:type="dxa"/>
          <w:bottom w:w="15" w:type="dxa"/>
          <w:right w:w="15" w:type="dxa"/>
        </w:tblCellMar>
      </w:tblPr>
      <w:tblGrid>
        <w:gridCol w:w="3602"/>
        <w:gridCol w:w="3480"/>
      </w:tblGrid>
      <w:tr>
        <w:tblPrEx>
          <w:tblCellMar>
            <w:top w:w="15" w:type="dxa"/>
            <w:left w:w="15" w:type="dxa"/>
            <w:bottom w:w="15" w:type="dxa"/>
            <w:right w:w="15"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CellMar>
            <w:top w:w="15" w:type="dxa"/>
            <w:left w:w="15" w:type="dxa"/>
            <w:bottom w:w="15" w:type="dxa"/>
            <w:right w:w="15" w:type="dxa"/>
          </w:tblCellMar>
        </w:tblPrEx>
        <w:trPr>
          <w:trHeight w:val="181" w:hRule="atLeast"/>
        </w:trPr>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370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hint="eastAsia" w:ascii="Times New Roman" w:hAnsi="Times New Roman" w:eastAsia="等线" w:cs="Times New Roman"/>
                <w:color w:val="333333"/>
                <w:kern w:val="0"/>
                <w:sz w:val="22"/>
              </w:rPr>
              <w:t>5,000</w:t>
            </w:r>
          </w:p>
        </w:tc>
      </w:tr>
      <w:tr>
        <w:tblPrEx>
          <w:tblCellMar>
            <w:top w:w="15" w:type="dxa"/>
            <w:left w:w="15" w:type="dxa"/>
            <w:bottom w:w="15" w:type="dxa"/>
            <w:right w:w="15" w:type="dxa"/>
          </w:tblCellMar>
        </w:tblPrEx>
        <w:trPr>
          <w:trHeight w:val="92" w:hRule="atLeast"/>
        </w:trPr>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hint="eastAsia" w:ascii="Times New Roman" w:hAnsi="Times New Roman" w:eastAsia="等线" w:cs="Times New Roman"/>
                <w:color w:val="333333"/>
                <w:kern w:val="0"/>
                <w:sz w:val="22"/>
              </w:rPr>
              <w:t>1</w:t>
            </w:r>
            <w:r>
              <w:rPr>
                <w:rFonts w:ascii="Times New Roman" w:hAnsi="Times New Roman" w:eastAsia="宋体" w:cs="Times New Roman"/>
                <w:color w:val="333333"/>
                <w:kern w:val="0"/>
                <w:sz w:val="22"/>
              </w:rPr>
              <w:t>,000</w:t>
            </w:r>
          </w:p>
        </w:tc>
      </w:tr>
      <w:tr>
        <w:tblPrEx>
          <w:tblCellMar>
            <w:top w:w="15" w:type="dxa"/>
            <w:left w:w="15" w:type="dxa"/>
            <w:bottom w:w="15" w:type="dxa"/>
            <w:right w:w="15" w:type="dxa"/>
          </w:tblCellMar>
        </w:tblPrEx>
        <w:trPr>
          <w:trHeight w:val="50" w:hRule="atLeast"/>
        </w:trPr>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hint="eastAsia" w:ascii="Times New Roman" w:hAnsi="Times New Roman" w:eastAsia="等线" w:cs="Times New Roman"/>
                <w:color w:val="333333"/>
                <w:kern w:val="0"/>
                <w:sz w:val="22"/>
              </w:rPr>
              <w:t>3</w:t>
            </w:r>
            <w:r>
              <w:rPr>
                <w:rFonts w:ascii="Times New Roman" w:hAnsi="Times New Roman" w:eastAsia="宋体" w:cs="Times New Roman"/>
                <w:color w:val="333333"/>
                <w:kern w:val="0"/>
                <w:sz w:val="22"/>
              </w:rPr>
              <w:t>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等线" w:cs="Times New Roman"/>
          <w:b/>
          <w:bCs/>
          <w:color w:val="333333"/>
          <w:kern w:val="0"/>
          <w:sz w:val="24"/>
          <w:szCs w:val="24"/>
        </w:rPr>
        <w:t>1</w:t>
      </w:r>
      <w:r>
        <w:tab/>
      </w:r>
      <w:r>
        <w:rPr>
          <w:rFonts w:ascii="Times New Roman" w:hAnsi="Times New Roman" w:eastAsia="宋体" w:cs="Times New Roman"/>
          <w:color w:val="333333"/>
          <w:kern w:val="0"/>
          <w:sz w:val="24"/>
          <w:szCs w:val="24"/>
        </w:rPr>
        <w:t>Where the Exchange adjusts the Trading Margin rate or price limit of UR contract in accordance with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Risk Control Rules of Zhengzhou Commodity Exchange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or other rules, such adjusted values shall prevail</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等线" w:cs="Times New Roman"/>
          <w:b/>
          <w:bCs/>
          <w:color w:val="333333"/>
          <w:kern w:val="0"/>
          <w:sz w:val="24"/>
          <w:szCs w:val="24"/>
        </w:rPr>
        <w:t>2</w:t>
      </w:r>
      <w:r>
        <w:tab/>
      </w:r>
      <w:r>
        <w:rPr>
          <w:rFonts w:ascii="Times New Roman" w:hAnsi="Times New Roman" w:eastAsia="宋体" w:cs="Times New Roman"/>
          <w:color w:val="333333"/>
          <w:kern w:val="0"/>
          <w:sz w:val="24"/>
          <w:szCs w:val="24"/>
        </w:rPr>
        <w:t>Any violation of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will be handled in accordance with the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Rules of Zhengzhou Commodity Exchange on Violations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and other applicable Rules of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等线" w:cs="Times New Roman"/>
          <w:b/>
          <w:bCs/>
          <w:color w:val="333333"/>
          <w:kern w:val="0"/>
          <w:sz w:val="24"/>
          <w:szCs w:val="24"/>
        </w:rPr>
        <w:t>3</w:t>
      </w:r>
      <w:r>
        <w:tab/>
      </w:r>
      <w:r>
        <w:rPr>
          <w:rFonts w:ascii="Times New Roman" w:hAnsi="Times New Roman" w:eastAsia="宋体" w:cs="Times New Roman"/>
          <w:color w:val="333333"/>
          <w:kern w:val="0"/>
          <w:sz w:val="24"/>
          <w:szCs w:val="24"/>
        </w:rPr>
        <w:t>Any matter not covered by these</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i/>
          <w:iCs/>
          <w:color w:val="333333"/>
          <w:kern w:val="0"/>
          <w:sz w:val="24"/>
          <w:szCs w:val="24"/>
        </w:rPr>
        <w:t>Detailed Rules</w:t>
      </w:r>
      <w:r>
        <w:rPr>
          <w:rFonts w:hint="eastAsia" w:ascii="微软雅黑" w:hAnsi="微软雅黑" w:eastAsia="微软雅黑" w:cs="Times New Roman"/>
          <w:color w:val="333333"/>
          <w:kern w:val="0"/>
          <w:sz w:val="24"/>
          <w:szCs w:val="24"/>
        </w:rPr>
        <w:t xml:space="preserve"> </w:t>
      </w:r>
      <w:r>
        <w:rPr>
          <w:rFonts w:ascii="Times New Roman" w:hAnsi="Times New Roman" w:eastAsia="宋体" w:cs="Times New Roman"/>
          <w:color w:val="333333"/>
          <w:kern w:val="0"/>
          <w:sz w:val="24"/>
          <w:szCs w:val="24"/>
        </w:rPr>
        <w:t>is governed by the relevant Rules of the Exchange</w:t>
      </w:r>
      <w:r>
        <w:rPr>
          <w:rFonts w:hint="eastAsia" w:ascii="Times New Roman" w:hAnsi="Times New Roman" w:eastAsia="微软雅黑"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等线" w:cs="Times New Roman"/>
          <w:b/>
          <w:bCs/>
          <w:color w:val="333333"/>
          <w:kern w:val="0"/>
          <w:sz w:val="24"/>
          <w:szCs w:val="24"/>
        </w:rPr>
        <w:t>4</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hint="eastAsia" w:ascii="Times New Roman" w:hAnsi="Times New Roman" w:eastAsia="等线" w:cs="Times New Roman"/>
          <w:b/>
          <w:bCs/>
          <w:color w:val="333333"/>
          <w:kern w:val="0"/>
          <w:sz w:val="24"/>
          <w:szCs w:val="24"/>
        </w:rPr>
        <w:t>5</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bookmarkStart w:id="0" w:name="_GoBack"/>
      <w:bookmarkEnd w:id="0"/>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after="312" w:afterLines="100"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inherit">
    <w:altName w:val="Times New Roman"/>
    <w:panose1 w:val="00000000000000000000"/>
    <w:charset w:val="00"/>
    <w:family w:val="roman"/>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7BD"/>
    <w:rsid w:val="000135DA"/>
    <w:rsid w:val="00036A7F"/>
    <w:rsid w:val="001477BD"/>
    <w:rsid w:val="00217612"/>
    <w:rsid w:val="00475C6C"/>
    <w:rsid w:val="005971F9"/>
    <w:rsid w:val="0064786E"/>
    <w:rsid w:val="00776E0D"/>
    <w:rsid w:val="009E04B6"/>
    <w:rsid w:val="00D22C4E"/>
    <w:rsid w:val="00DD360A"/>
    <w:rsid w:val="7EAB3B0D"/>
    <w:rsid w:val="E3BFA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9"/>
    <w:qFormat/>
    <w:uiPriority w:val="9"/>
    <w:pPr>
      <w:widowControl/>
      <w:spacing w:before="300" w:after="150"/>
      <w:jc w:val="left"/>
      <w:outlineLvl w:val="0"/>
    </w:pPr>
    <w:rPr>
      <w:rFonts w:ascii="inherit" w:hAnsi="inherit" w:eastAsia="宋体" w:cs="宋体"/>
      <w:kern w:val="36"/>
      <w:sz w:val="54"/>
      <w:szCs w:val="54"/>
    </w:rPr>
  </w:style>
  <w:style w:type="paragraph" w:styleId="3">
    <w:name w:val="heading 2"/>
    <w:basedOn w:val="1"/>
    <w:link w:val="10"/>
    <w:qFormat/>
    <w:uiPriority w:val="9"/>
    <w:pPr>
      <w:widowControl/>
      <w:spacing w:before="300" w:after="150"/>
      <w:jc w:val="left"/>
      <w:outlineLvl w:val="1"/>
    </w:pPr>
    <w:rPr>
      <w:rFonts w:ascii="inherit" w:hAnsi="inherit" w:eastAsia="宋体" w:cs="宋体"/>
      <w:kern w:val="0"/>
      <w:sz w:val="45"/>
      <w:szCs w:val="45"/>
    </w:rPr>
  </w:style>
  <w:style w:type="paragraph" w:styleId="4">
    <w:name w:val="heading 3"/>
    <w:basedOn w:val="1"/>
    <w:link w:val="11"/>
    <w:qFormat/>
    <w:uiPriority w:val="9"/>
    <w:pPr>
      <w:widowControl/>
      <w:spacing w:before="300" w:after="150"/>
      <w:jc w:val="left"/>
      <w:outlineLvl w:val="2"/>
    </w:pPr>
    <w:rPr>
      <w:rFonts w:ascii="inherit" w:hAnsi="inherit" w:eastAsia="宋体" w:cs="宋体"/>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3"/>
    <w:semiHidden/>
    <w:unhideWhenUsed/>
    <w:qFormat/>
    <w:uiPriority w:val="99"/>
    <w:rPr>
      <w:sz w:val="18"/>
      <w:szCs w:val="18"/>
    </w:rPr>
  </w:style>
  <w:style w:type="character" w:styleId="8">
    <w:name w:val="Hyperlink"/>
    <w:basedOn w:val="7"/>
    <w:semiHidden/>
    <w:unhideWhenUsed/>
    <w:qFormat/>
    <w:uiPriority w:val="99"/>
    <w:rPr>
      <w:color w:val="333333"/>
      <w:u w:val="none"/>
      <w:shd w:val="clear" w:color="auto" w:fill="auto"/>
    </w:rPr>
  </w:style>
  <w:style w:type="character" w:customStyle="1" w:styleId="9">
    <w:name w:val="标题 1 Char"/>
    <w:basedOn w:val="7"/>
    <w:link w:val="2"/>
    <w:qFormat/>
    <w:uiPriority w:val="9"/>
    <w:rPr>
      <w:rFonts w:ascii="inherit" w:hAnsi="inherit" w:eastAsia="宋体" w:cs="宋体"/>
      <w:kern w:val="36"/>
      <w:sz w:val="54"/>
      <w:szCs w:val="54"/>
    </w:rPr>
  </w:style>
  <w:style w:type="character" w:customStyle="1" w:styleId="10">
    <w:name w:val="标题 2 Char"/>
    <w:basedOn w:val="7"/>
    <w:link w:val="3"/>
    <w:qFormat/>
    <w:uiPriority w:val="9"/>
    <w:rPr>
      <w:rFonts w:ascii="inherit" w:hAnsi="inherit" w:eastAsia="宋体" w:cs="宋体"/>
      <w:kern w:val="0"/>
      <w:sz w:val="45"/>
      <w:szCs w:val="45"/>
    </w:rPr>
  </w:style>
  <w:style w:type="character" w:customStyle="1" w:styleId="11">
    <w:name w:val="标题 3 Char"/>
    <w:basedOn w:val="7"/>
    <w:link w:val="4"/>
    <w:qFormat/>
    <w:uiPriority w:val="9"/>
    <w:rPr>
      <w:rFonts w:ascii="inherit" w:hAnsi="inherit" w:eastAsia="宋体" w:cs="宋体"/>
      <w:kern w:val="0"/>
      <w:sz w:val="36"/>
      <w:szCs w:val="36"/>
    </w:rPr>
  </w:style>
  <w:style w:type="character" w:customStyle="1" w:styleId="12">
    <w:name w:val="hidden-xs"/>
    <w:basedOn w:val="7"/>
    <w:qFormat/>
    <w:uiPriority w:val="0"/>
  </w:style>
  <w:style w:type="character" w:customStyle="1" w:styleId="13">
    <w:name w:val="批注框文本 Char"/>
    <w:basedOn w:val="7"/>
    <w:link w:val="5"/>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3221</Words>
  <Characters>18361</Characters>
  <Lines>153</Lines>
  <Paragraphs>43</Paragraphs>
  <TotalTime>0</TotalTime>
  <ScaleCrop>false</ScaleCrop>
  <LinksUpToDate>false</LinksUpToDate>
  <CharactersWithSpaces>21539</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2024-01-24T08:41:00Z</dcterms:created>
  <dc:creator>李柯颖</dc:creator>
  <cp:lastModifiedBy>管玉箫</cp:lastModifiedBy>
  <dcterms:modified xsi:type="dcterms:W3CDTF">2024-02-02T14:21:27Z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598B2D417FB3D71F1C99B8651AB5E837</vt:lpwstr>
  </property>
</Properties>
</file>