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outlineLvl w:val="0"/>
        <w:rPr>
          <w:rFonts w:hint="eastAsia" w:ascii="Microsoft Yahei" w:hAnsi="Microsoft Yahei" w:eastAsia="宋体" w:cs="宋体"/>
          <w:b/>
          <w:bCs/>
          <w:color w:val="333333"/>
          <w:kern w:val="0"/>
          <w:sz w:val="28"/>
          <w:szCs w:val="28"/>
          <w:highlight w:val="none"/>
        </w:rPr>
      </w:pPr>
      <w:r>
        <w:rPr>
          <w:rFonts w:ascii="Microsoft Yahei" w:hAnsi="Microsoft Yahei" w:eastAsia="宋体" w:cs="宋体"/>
          <w:b/>
          <w:bCs/>
          <w:color w:val="333333"/>
          <w:kern w:val="0"/>
          <w:sz w:val="28"/>
          <w:szCs w:val="28"/>
          <w:highlight w:val="none"/>
        </w:rPr>
        <w:t>Detailed Rules of Zhengzhou Commodity Exchange for Strong Gluten Wheat Futures</w:t>
      </w:r>
    </w:p>
    <w:p>
      <w:pPr>
        <w:widowControl/>
        <w:spacing w:after="312" w:afterLines="100" w:line="276" w:lineRule="auto"/>
        <w:ind w:firstLine="481" w:firstLineChars="20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strong gluten wheat futures (“</w:t>
      </w:r>
      <w:r>
        <w:rPr>
          <w:rFonts w:ascii="Times New Roman" w:hAnsi="Times New Roman" w:eastAsia="宋体" w:cs="Times New Roman"/>
          <w:b/>
          <w:bCs/>
          <w:color w:val="333333"/>
          <w:kern w:val="0"/>
          <w:sz w:val="24"/>
          <w:szCs w:val="24"/>
          <w:highlight w:val="none"/>
        </w:rPr>
        <w:t>WH</w:t>
      </w:r>
      <w:r>
        <w:rPr>
          <w:rFonts w:ascii="Times New Roman" w:hAnsi="Times New Roman" w:eastAsia="宋体" w:cs="Times New Roman"/>
          <w:color w:val="333333"/>
          <w:kern w:val="0"/>
          <w:sz w:val="24"/>
          <w:szCs w:val="24"/>
          <w:highlight w:val="none"/>
        </w:rPr>
        <w:t>”) contract to regulate WH-related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clients, Board Delivery service providers,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contract size of 20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WH contract has the following trading hours: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firstLine="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Exchange announces the creation of a night session for the WH contract, the trading hours specified in that announcement shall prevail. The Exchange may suspend, cancel, or adjust the trading hours of the night session for WH contract based on market conditions, the specifics of which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the following product code: WH.</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may be delivered by Board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WH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delivery unit of 20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the following Last Delivery Day for Board Delivery: the 20th day of the month following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WH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Board Delivery service providers and relevant premiums and discounts for WH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WH is the tax-included price (excluding packaging fees) at which the benchmark deliverable is delivered at a benchmark Board Delivery service provider.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All the expenses incurred before the quality of the strong gluten wheat is determined are borne by the seller; all the expenses incurred thereafter are borne by the buyer.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Strong gluten wheat is received, stored, and shipped in bulk. Any buyer that needs packaging shall do so itself or through a third party and solely bear the cost of the packaging materials and services.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WH is governed by national standards, the relevant national regulations,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wheat meeting the quality standard for “Grade III” wheat or above under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“Wheat”</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 1351-2008), with test weight ≥ 770 g/L, moldy kernel ≤ 2.0%, 300 s ≤ falling number ≤ 550 s, purity ≥ 80%. Inherent quality indicators are stability time ≥ 12 min, wet gluten ≥ 31%, and extensibility (135 min) ≥ 110 cm².</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Wheat with stability time ≥ 8 min, wet gluten ≥ 29%, and extensibility (135 min) ≥ 90 cm² but does not meet the standards for benchmark deliverable and above may be used as a substitute, the premiums and discounts for which are governed by the announcements of the Exchange;</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Wheat with stability time ≥ 16 min, wet gluten ≥ 32%, and extensibility (135 min) ≥ 140 cm² may be used as a substitute, the premiums and discounts for which are governed by the announcements of the Exchange;</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If 12.5% &lt; moisture content ≤ 13.5% at delivery, then the commodity is at a 1.0% weight penalty for every 0.5% above 12.5%, with no discount for difference less than 0.5%.</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the quality indicators for strong gluten wheat, “purity” refers to the typical degree of consistency in the characteristics of the wheat. The purity is determined by the purity evaluation group through testing. The testing method will be separately announced by the Exchange.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Board Delivery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Board Delivery of strong gluten wheat requires the submission of delivery intention.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Before shipping the commodity to a Board Delivery service provider, the seller shall fill out a Board Delivery Intention (WH) through its carrying Member and submit it to the Board Delivery service provider via the member service system or in another manner approved by the Exchange. The Board Delivery Intention (WH) shall specify such information about the commodity as the type, place of production, grade, quantity, and year of production.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require any seller that submits a large delivery intention to furnish proof of ownership of physicals.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Board Delivery service provider shall, within two (2) business days of receiving the Board Delivery Intention (WH), notify the Member via the member service system or in another manner approved by the Exchange of the quantity it is able to receive. The Member shall, within two (2) business days of receiving the load-in approval from the Board Delivery service provider, pay it a load-in deposit of RMB 30 yuan/metric ton. The Board Delivery service provider shall issue the Board Delivery Load-in Notice (WH) on the day it receives the load-in deposit or, if that day is not a business day, on the next business day.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Submission of delivery intention is still required for any Board Delivery commodity already stored at the Board Delivery service provider, without the need for load-in deposit.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Board Delivery Load-in Notice (WH) is valid for forty (40) calendar days starting from the issuance date. The validity period is subject to adjustment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deposit is fully refunded within two (2) business days of the completion of load-in if commodities of the indicated quantity are all loaded in within the validity period of the Board Delivery Load-in Notice (WH), is refunded proportionately if only a portion of the commodities are actually loaded in, and is not refunded for any portion of the commodities that are not loaded in.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completing the delivery intention procedures for Board Delivery, the seller shall notify the Board Delivery service provider of the means of transport, truck or ship number, quantity, and time of arrival before shipping the commodity.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Board Delivery service provider shall issue a Load-in Confirmation (WH) once the deliverables are loaded in. Load-in Confirmation (WH) issued on or after October 1 of a given year is valid till the last business day in September of the following year.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Load-in Confirmation (WH) serves as the basis for a seller’s participation in the delivery matching process.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When submitting a delivery request for Board Delivery of strong gluten wheat, the seller shall provide a valid Load-in Confirmation (WH) and such information about the commodity as the type, place of production, grade, quantity, year of production, and the name of the Board Delivery service provider.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If the Exchange announces a suspension of load-in at a Board Delivery service provider, then starting from market close in the afternoon of the day of the announcement, any delivery intention subsequently declared to the Board Delivery service provider is deemed invalid and the Exchange will no longer accept any request for the Board Delivery of the relevant commodities.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Strong gluten wheat is delivered at a Board Delivery service provider. A buyer and a seller shall, within three (3) trading days from the Third Delivery Day (inclusive), discuss details about the Board Delivery to finalize the settlement method and the method and time of delivery, and enter into a Board Delivery Agreement.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buyer shall submit the Board Delivery Confirmation Form via the member service system before 1:30 p.m. on the third trading day from the Third Delivery Day (inclusive); the selling Member shall confirm it before 3:00 p.m. on the same day. Information in the Board Delivery Confirmation Form shall comply with the provisions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be consistent with the agreement between the parties, or the Board Delivery Confirmation Form is deemed unsubmitted. Non-submission by the buyer or non-confirmation by the seller within the specified time limit constitutes a default, which will be handled in accordance with the “Handling of Delivery Defaults”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buyer shall complete quality inspection of the commodity within five (5) business days after submitting the Board Delivery Confirmation Form, and load and ship the commodity out within twenty-four (24) hours after completing the quality inspection. The seller is not liable for the quality of any shipment of commodity that, for reasons attributable to the buyer, cannot be loaded for shipment by the buyer within the prescribed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multiple inspections have been conducted for a series of shipments, the final quality is based on the average result of inspections weighted by the quantity in each shipment.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Upon the acceptance of quality, the parties shall sign a Quality Acceptance Form as the basis for determining the quality and premiums/discounts of the commodity delivered.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dispute between a buyer and a seller over quality shall be resolved through negotiation first; failing which, they shall submit to the Exchange a re-inspection request before the commodity leaves the Board Delivery service provider, and specify the quality indicators to be checked. The party that raises the quality dispute shall pay the re-inspection and other relevant fees in advance. The purity of strong gluten wheat is determined by the purity evaluation group through testing; other quality indicators are checked by the re-inspection agency. The re-inspection agency shall be jointly determined by the parties among the list of Designated Quality Inspection Agencies or, if no agreement can be reached, be designated by the Exchange. The re-inspection agency shall issue the results of re-inspection within seven (7) business days from the date (exclusive) it receives the inspection notice from the Exchange. The results of re-inspection will serve as the basis for dispute resolution. The re-inspection and other relevant fees shall be borne by the party that raises the quality dispute if the results of re-inspection show that the commodity is at or superior to the quality grade indicated in the seller’s delivery intention, and by the seller if otherwise.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seller shall promptly replace any commodity awaiting shipment that does not meet the standards of delivery. If replacement is infeasible, the parties may jointly determine a solution; failing which, the situation will be handled in accordance with the “Handling of Delivery Defaults”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buyer shall be present at the shipment of commodity to inspect the commodity and monitor the loading and transport process; the seller shall assign sufficient manpower and equipment to ensure a smooth shipping process. The weight inspection shall be conducted with a truck scale at the shipping location or by another measuring method acceptable to both parties.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Upon completion of the shipping stage, the weight of the commodity shipped is determined by the verified aggregate number on the weight note signed daily by the parties. The parties shall then sign the Weight Acceptance Form as the basis for determining the weight of the commodity delivered.</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delivery is delayed because the buyer and seller fail to make and take delivery in accordance with the previously agreed shipment time and speed, they shall jointly determine a solution;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If shipment or pick-up cannot be made as scheduled due to a force majeure event, the shipment or pick-up time may be postponed accordingly.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WH contract varies as follows:</w:t>
      </w:r>
    </w:p>
    <w:tbl>
      <w:tblPr>
        <w:tblStyle w:val="3"/>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WH contract varies as follows:</w:t>
      </w:r>
    </w:p>
    <w:tbl>
      <w:tblPr>
        <w:tblStyle w:val="3"/>
        <w:tblW w:w="0" w:type="auto"/>
        <w:tblInd w:w="1435" w:type="dxa"/>
        <w:tblLayout w:type="autofit"/>
        <w:tblCellMar>
          <w:top w:w="0" w:type="dxa"/>
          <w:left w:w="0" w:type="dxa"/>
          <w:bottom w:w="0" w:type="dxa"/>
          <w:right w:w="0" w:type="dxa"/>
        </w:tblCellMar>
      </w:tblPr>
      <w:tblGrid>
        <w:gridCol w:w="3916"/>
        <w:gridCol w:w="3171"/>
      </w:tblGrid>
      <w:tr>
        <w:tblPrEx>
          <w:tblCellMar>
            <w:top w:w="0" w:type="dxa"/>
            <w:left w:w="0" w:type="dxa"/>
            <w:bottom w:w="0" w:type="dxa"/>
            <w:right w:w="0" w:type="dxa"/>
          </w:tblCellMar>
        </w:tblPrEx>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300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WH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Violations</w:t>
      </w:r>
      <w:r>
        <w:rPr>
          <w:rFonts w:ascii="Times New Roman" w:hAnsi="Times New Roman" w:eastAsia="宋体" w:cs="Times New Roman"/>
          <w:color w:val="333333"/>
          <w:kern w:val="0"/>
          <w:sz w:val="24"/>
          <w:szCs w:val="24"/>
          <w:highlight w:val="none"/>
        </w:rPr>
        <w:t> 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r>
        <w:rPr>
          <w:rFonts w:ascii="Times New Roman" w:hAnsi="Times New Roman" w:eastAsia="宋体" w:cs="Times New Roman"/>
          <w:color w:val="333333"/>
          <w:kern w:val="0"/>
          <w:sz w:val="24"/>
          <w:szCs w:val="24"/>
          <w:highlight w:val="none"/>
        </w:rPr>
        <w:t>.</w:t>
      </w:r>
    </w:p>
    <w:p>
      <w:pPr>
        <w:widowControl/>
        <w:spacing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ED8"/>
    <w:rsid w:val="000B4E86"/>
    <w:rsid w:val="00226930"/>
    <w:rsid w:val="0023446C"/>
    <w:rsid w:val="00343E60"/>
    <w:rsid w:val="003731B8"/>
    <w:rsid w:val="003E0ED8"/>
    <w:rsid w:val="004E2EBE"/>
    <w:rsid w:val="006028CF"/>
    <w:rsid w:val="006D19AA"/>
    <w:rsid w:val="006E4D42"/>
    <w:rsid w:val="006F6F11"/>
    <w:rsid w:val="00895C94"/>
    <w:rsid w:val="009E1D02"/>
    <w:rsid w:val="009F5266"/>
    <w:rsid w:val="00A70621"/>
    <w:rsid w:val="00A93597"/>
    <w:rsid w:val="00BA6927"/>
    <w:rsid w:val="00BF548D"/>
    <w:rsid w:val="00C3623F"/>
    <w:rsid w:val="00EC397C"/>
    <w:rsid w:val="00F43C4A"/>
    <w:rsid w:val="7A7D1D02"/>
    <w:rsid w:val="7BFFB336"/>
    <w:rsid w:val="AE5D0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2392</Words>
  <Characters>13638</Characters>
  <Lines>113</Lines>
  <Paragraphs>31</Paragraphs>
  <TotalTime>0</TotalTime>
  <ScaleCrop>false</ScaleCrop>
  <LinksUpToDate>false</LinksUpToDate>
  <CharactersWithSpaces>15999</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2024-01-24T07:17:00Z</dcterms:created>
  <dc:creator>李柯颖</dc:creator>
  <cp:lastModifiedBy>管玉箫</cp:lastModifiedBy>
  <dcterms:modified xsi:type="dcterms:W3CDTF">2024-02-02T14:14:30Z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2C7D84A2C5F830849996B865C5F988D9</vt:lpwstr>
  </property>
</Properties>
</file>