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Methanol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 xml:space="preserve">Detailed Rules </w:t>
      </w:r>
      <w:r>
        <w:rPr>
          <w:rFonts w:ascii="Times New Roman" w:hAnsi="Times New Roman" w:eastAsia="宋体" w:cs="Times New Roman"/>
          <w:color w:val="333333"/>
          <w:kern w:val="0"/>
          <w:sz w:val="24"/>
          <w:szCs w:val="24"/>
        </w:rPr>
        <w:t xml:space="preserve">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methanol futures (“</w:t>
      </w:r>
      <w:r>
        <w:rPr>
          <w:rFonts w:ascii="Times New Roman" w:hAnsi="Times New Roman" w:eastAsia="宋体" w:cs="Times New Roman"/>
          <w:b/>
          <w:bCs/>
          <w:color w:val="333333"/>
          <w:kern w:val="0"/>
          <w:sz w:val="24"/>
          <w:szCs w:val="24"/>
        </w:rPr>
        <w:t>MA</w:t>
      </w:r>
      <w:r>
        <w:rPr>
          <w:rFonts w:ascii="Times New Roman" w:hAnsi="Times New Roman" w:eastAsia="宋体" w:cs="Times New Roman"/>
          <w:color w:val="333333"/>
          <w:kern w:val="0"/>
          <w:sz w:val="24"/>
          <w:szCs w:val="24"/>
        </w:rPr>
        <w:t>”) contract to regulate MA-related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contract size of 10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minimum price fluctuation of 1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MA contract is traded during night session hours and day session hours. 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the following product code: MA.</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may be delivered by exchange of futures for physical (“</w:t>
      </w:r>
      <w:r>
        <w:rPr>
          <w:rFonts w:ascii="Times New Roman" w:hAnsi="Times New Roman" w:eastAsia="宋体" w:cs="Times New Roman"/>
          <w:b/>
          <w:bCs/>
          <w:color w:val="333333"/>
          <w:kern w:val="0"/>
          <w:sz w:val="24"/>
          <w:szCs w:val="24"/>
        </w:rPr>
        <w:t>EFP</w:t>
      </w:r>
      <w:r>
        <w:rPr>
          <w:rFonts w:ascii="Times New Roman" w:hAnsi="Times New Roman" w:eastAsia="宋体" w:cs="Times New Roman"/>
          <w:color w:val="333333"/>
          <w:kern w:val="0"/>
          <w:sz w:val="24"/>
          <w:szCs w:val="24"/>
        </w:rPr>
        <w:t>”), delivery with standard delivery warehouse receipts, and delivery with standard factory warehouse receipts. MA may adopt either duty-paid delivery or Bonded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MA is conducted through Response Matching.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 xml:space="preserve">Futures Delivery Rules of Zhengzhou Commodity Exchange </w:t>
      </w:r>
      <w:r>
        <w:rPr>
          <w:rFonts w:ascii="Times New Roman" w:hAnsi="Times New Roman" w:eastAsia="宋体" w:cs="Times New Roman"/>
          <w:color w:val="333333"/>
          <w:kern w:val="0"/>
          <w:sz w:val="24"/>
          <w:szCs w:val="24"/>
        </w:rPr>
        <w:t xml:space="preserve">and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delivery unit of 10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MA may be classified into standard delivery warehouse receipts and standard factory warehouse receipts, and also into bonded standard warehouse receipts and duty-paid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MA are all non-general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duty-paid standard warehouse receipts for methanol registered on or before the 15th trading day of May or November of each year shall be cancelled on or before the 15th trading day of May or November of the same year.</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validity period of bonded standard warehouse receipts for methanol extends five (5) trading days beyond that of duty-paid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Delivery of MA shall be made against a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warehouses and factory warehouses for MA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delivery price of MA is the tax-included price at which the benchmark deliverable is delivered through a load-out from a benchmark delivery warehouse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area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client that is not qualified to produce, store, use, deal in, or transport methanol shall not take part in the delivery of methanol.</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MA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delivery of MA is governed by national standards and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benchmark deliverable is “Premier Grade” methanol under </w:t>
      </w:r>
      <w:r>
        <w:rPr>
          <w:rFonts w:ascii="Times New Roman" w:hAnsi="Times New Roman" w:eastAsia="宋体" w:cs="Times New Roman"/>
          <w:i/>
          <w:iCs/>
          <w:color w:val="333333"/>
          <w:kern w:val="0"/>
          <w:sz w:val="24"/>
          <w:szCs w:val="24"/>
        </w:rPr>
        <w:t>National Standard of the People’s Republic of China “Methanol for Industrial Use”</w:t>
      </w:r>
      <w:r>
        <w:rPr>
          <w:rFonts w:ascii="Times New Roman" w:hAnsi="Times New Roman" w:eastAsia="宋体" w:cs="Times New Roman"/>
          <w:color w:val="333333"/>
          <w:kern w:val="0"/>
          <w:sz w:val="24"/>
          <w:szCs w:val="24"/>
        </w:rPr>
        <w:t xml:space="preserve"> (GB/T 338-2011), without requirement for “mass fraction of ethanol.”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MA.</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Notice issued by a methanol delivery warehouse is valid for forty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Methanol shall be transported in a manner that complies with national regulations on the transport of dangerous chemicals.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With respect to any request to load in domestically produced methanol, a Certificate of Quality issued by the manufacturer of the current shipment of product shall be presented to the delivery warehouse to certify that the product meets the standard for delivery. The Certificate of Quality shall indicate the manufacturer, date of production, applicable quality standards, and quality inspection results for the current shipment, among other information.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With respect to any request to load in overseas-produced methanol, photocopies of the shipping documents, PBC Customs Declaration Form for Import Goods, and the Certificate of Quality issued by the manufacturer for the current shipment of product, as well as the original customs clearance documents, shall be presented to the delivery warehouse. The registrant of the standard warehouse receipts shall sign a Guarantee of Lawful, Truthful, and Valid Documentations for Imported Methanol for the documentations it provides.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delivery warehouse shall review the load-in documentations specified in the foregoing paragraphs as well as the registrant’s qualifications to deal in dangerous chemicals.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At the load-in of methanol transported by truck, the weight shall be as indicated by the truck scale and the weight inspection shall be organized by the delivery warehouse. At the load-in of methanol transported by rail or ship, the weight shall be as indicated by the measuring stick into the storage tank of the delivery warehouse. The registrant of the standard warehouse receipts may engage a Designated Quality Inspection Agency or the delivery warehouse to perform weight verification. Where weight verification is performed by a Designated Quality Inspection Agency, the delivery warehouse shall provide cooperation and any expenses incurred shall be borne by the registrant.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Subject to the approval of the Exchange, the weight inspection may be conducted with another sophisticated weighing apparatus recognized by the relevant national quality and technical supervision authority.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sampling and quality inspection of methanol is to be conducted by a Designated Quality Inspection Agency. The relevant delivery warehouse shall provide cooperation and any expenses incurred (excluding the expenses of the delivery warehouse for cooperating with the inspection) shall be borne by the registrant of the corresponding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Designated Quality Inspection Agency shall issue and notify the delivery warehouse of the inspection results within three (3) business days of completing the sampling process.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standard warehouse receipts shall be present at the weight inspection and load-in sampling of methanol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tank number,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For any methanol that is already loaded in, if the corresponding prospective registrant can provide, and the delivery warehouse recognizes, the inspection report issued by the relevant Designated Quality Inspection Agency which certifies that the methanol meets the standard for delivery, the registrant may request to register the corresponding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a tank contains a mixture of methanol for futures delivery and methanol for spot transactions, the relevant delivery warehouse shall ensure that the entire tank meets the standard for futures delivery. Any methanol not meeting this standard may not be stored in a mixed tank or used to register for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delivery warehouse receipt for methanol,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trains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methanol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MA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pick-up person that objects to the quality of the methanol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maximum number of standard warehouse receipts registerable by an MA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methanol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factory warehouse receipt for methanol,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methanol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delivery warehouse shall compensate the pick-up person for the price of the missing commodity based on the highest final settlement price of the MA contract in the nearby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the time of load-out, the factory warehouse shall take samples in the presence of the pick-up person before the commodity is loaded onto the pick-up person’s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Only the previously retained samples may be used for quality re-inspection.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MA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Bonded Standard Warehouse Receipts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Creation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are created in accordance with the Exchange’s rules for duty-paid standard warehouse receipts. The registrant shall additionally provide the document of title, certificate of inspection, and other customs documentations.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for methanol may be transferred or used in delivery, EFP, load-out, as margin, and for any other purposes prescribed by the Exchange.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and Transfer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Unless otherwise provided by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 xml:space="preserve">, the settlement procedures, issuance and receipt of VAT invoices, and the determination and handling of the buyer’s or seller’s default in a Bonded Delivery of methanol are governed by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delivery matching of bonded standard warehouse receipts for methanol, the seller’s bonded standard warehouse receipts will be frozen and the corresponding margin will not be immediately released.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Before 9:00 a.m. on the Third Delivery Day, a buying Member shall have fully paid any remaining delivery payment calculated based on the bonded final settlement price.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delivery payment for bonded standard warehouse receipts is calculated based on the delivery quantity, bonded final settlement price, and bonded premiums and discounts. Specifically, delivery payment for bonded standard warehouse receipts = (bonded final settlement price + bonded premiums and discounts) × bonded delivery quantity; where bonded final settlement price = [(tax-included final settlement price – relevant expenses) / (1 + import VAT rate) – consumption tax] / (1 + import duty rate), bonded premiums and discounts = [premiums and discounts / (1 + import VAT rate)] / (1 + import duty rate).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 above formulas, the consumption tax is based on weight and the import duty is based on price; the premiums and discounts and the relevant expenses will be separately announced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bonded final settlement price is published by the Exchange after market close on the matching day in the delivery month. Upon any change in national tax policies, the Exchange may adjust the formula for the bonded final settlement price and publish the updated formula at an appropriate time.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Following market close on the Third Delivery Day, the Exchange will issue to each seller the Bonded Final Settlement Statement and Statement of Bonded Standard Warehouse Receipt Holdings needed for customs declaration. The Bonded Final Settlement Statement will state the names of the buyer and seller, names of the buying Member and selling Member, the delivery warehouse, actual quantity settled, the bonded final settlement price, and bonded premiums and discounts.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seller shall initiate and complete the customs declaration procedures with the Bonded Final Settlement Statement and Statement of Bonded Standard Warehouse Receipt Holdings within the customs declaration window, i.e., seven (7) trading days starting on the day after the Third Delivery Day, or be deemed to have committed a delivery default. The transaction price to be declared shall be the bonded final settlement price indicated on the Bonded Final Settlement Statement plus any bonded premiums and discounts.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Upon completing the customs declaration procedures, the seller shall submit the customs declaration forms and other documentations to the Exchange, which will, following review, convert the bonded standard warehouse receipts into duty-paid standard warehouse receipts and handle the transfer of delivery payment and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customs declaration is delayed due to the customs authority or other policy reasons, the transfer of delivery payment and standard warehouse receipts will be postponed accordingly and the delay will not be deemed as a delivery default.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 seller shall issue a special VAT invoice to the buyer within seven (7) trading days following the end of the customs declaration windows. If the delivery of the special VAT invoice is delayed for one (1) to ten (10) calendar days, the seller shall pay a late fee at 0.5‰ of the delivery payment, calculated based on the final settlement price, for each day of delay. If such delivery is delayed for over ten (10) calendar days, the seller is deemed to have refused to deliver the special VAT invoice and shall pay a default penalty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seller is not liable to pay for the late fee or default penalty if the delivery of special VAT invoice is delayed due to the customs authority or other policy reasons.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With respect to any ownership transfer of bonded standard warehouse receipts of methanol not conducted through delivery matching, the Exchange will not issue the Bonded Final Settlement Statement and the settlement of delivery payment and the issuance and receipt of the VAT invoice and other documentations shall be handled by the relevant Members or clients themselves. The duty-paid price for the methanol covered by the bonded standard warehouse receipts will be reviewed by the customs authority in accordance with applicable regulations.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EFP</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With respect to any EFP with bonded standard warehouse receipts for methanol, the Exchange will not issue the Bonded Final Settlement Statement and the settlement of delivery payment and the issuance and receipt of the VAT invoice and other documentations shall be handled by the relevant Members or clients themselves.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EFP with bonded standard warehouse receipts for methanol shall be conducted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Margin Collateral and Margin Set-Off</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for methanol may be posted as margin. The Exchange calculates the benchmark value of the bonded standard warehouse receipts based on the settlement price of the nearby MA contract for the trading day preceding the application day less the import VAT, import consumption tax, and import duty.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procedures for posting of bonded standard warehouse receipts for methanol as margin are governed by the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procedures for margin set-off with bonded standard warehouse receipts for methanol are identical to the procedures for margin set-off with duty-paid standard warehouse receipts and are specifically governed by the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Cancellation and Load-Out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In addition to the provisions of these </w:t>
      </w:r>
      <w:r>
        <w:rPr>
          <w:rFonts w:ascii="Times New Roman" w:hAnsi="Times New Roman" w:eastAsia="宋体" w:cs="Times New Roman"/>
          <w:i/>
          <w:iCs/>
          <w:color w:val="333333"/>
          <w:kern w:val="0"/>
          <w:sz w:val="24"/>
          <w:szCs w:val="24"/>
        </w:rPr>
        <w:t>Rules</w:t>
      </w:r>
      <w:r>
        <w:rPr>
          <w:rFonts w:ascii="Times New Roman" w:hAnsi="Times New Roman" w:eastAsia="宋体" w:cs="Times New Roman"/>
          <w:color w:val="333333"/>
          <w:kern w:val="0"/>
          <w:sz w:val="24"/>
          <w:szCs w:val="24"/>
        </w:rPr>
        <w:t xml:space="preserve">, the cancellation of bonded standard warehouse receipts for methanol and load-out of methanol are also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When undergoing the load-out procedures following the cancellation of bonded standard warehouse receipts for methanol, the pick-up person shall provide the customs clearance documents in addition to its ID card, certificate of identity and authority issued by his employer, and the verification code for the Pick-up Notice.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bonded standard warehouse receipts and the completion of customs declaration and tax payment procedures, the methanol covered by the bonded standard warehouse receipts may be used to register duty-paid standard warehouse receipts.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MA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MA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position limit of a particular MA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575"/>
        <w:gridCol w:w="1757"/>
        <w:gridCol w:w="17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&lt;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30,000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color w:val="333333"/>
                <w:kern w:val="0"/>
                <w:sz w:val="24"/>
                <w:szCs w:val="24"/>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 300,000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open interest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3,000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Exchange adjusts the Trading Margin rate or price limit of MA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6</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rPr>
        <w:t>Article 69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BEF"/>
    <w:rsid w:val="00460EDF"/>
    <w:rsid w:val="005445C5"/>
    <w:rsid w:val="006375E0"/>
    <w:rsid w:val="0064786E"/>
    <w:rsid w:val="0068027A"/>
    <w:rsid w:val="007B633B"/>
    <w:rsid w:val="00833E84"/>
    <w:rsid w:val="008A52FA"/>
    <w:rsid w:val="00917BEF"/>
    <w:rsid w:val="00994E10"/>
    <w:rsid w:val="00BB155D"/>
    <w:rsid w:val="00E67B8B"/>
    <w:rsid w:val="00E86F65"/>
    <w:rsid w:val="13BF3345"/>
    <w:rsid w:val="77F75ED7"/>
    <w:rsid w:val="7F731F2C"/>
    <w:rsid w:val="EFFA3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4305</Words>
  <Characters>24542</Characters>
  <Lines>204</Lines>
  <Paragraphs>57</Paragraphs>
  <TotalTime>0</TotalTime>
  <ScaleCrop>false</ScaleCrop>
  <LinksUpToDate>false</LinksUpToDate>
  <CharactersWithSpaces>28790</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2024-01-24T14:49:00Z</dcterms:created>
  <dc:creator>李柯颖</dc:creator>
  <cp:lastModifiedBy>管玉箫</cp:lastModifiedBy>
  <dcterms:modified xsi:type="dcterms:W3CDTF">2024-02-02T14:18:15Z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45074573E2524F2F6398B86535E9B712</vt:lpwstr>
  </property>
</Properties>
</file>