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highlight w:val="none"/>
        </w:rPr>
      </w:pPr>
      <w:r>
        <w:rPr>
          <w:rFonts w:ascii="Times New Roman" w:hAnsi="Times New Roman" w:eastAsia="宋体" w:cs="Times New Roman"/>
          <w:b/>
          <w:bCs/>
          <w:color w:val="333333"/>
          <w:kern w:val="0"/>
          <w:sz w:val="28"/>
          <w:szCs w:val="28"/>
          <w:highlight w:val="none"/>
        </w:rPr>
        <w:t>Detailed Rules of Zhengzhou Commodity Exchange for Rapeseed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Provisions</w:t>
      </w:r>
    </w:p>
    <w:p>
      <w:pPr>
        <w:widowControl/>
        <w:spacing w:after="312" w:afterLines="100" w:line="276" w:lineRule="auto"/>
        <w:ind w:left="1653" w:hanging="1652" w:hangingChars="686"/>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made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Trading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 rapeseed futures (“</w:t>
      </w:r>
      <w:r>
        <w:rPr>
          <w:rFonts w:ascii="Times New Roman" w:hAnsi="Times New Roman" w:eastAsia="宋体" w:cs="Times New Roman"/>
          <w:b/>
          <w:bCs/>
          <w:color w:val="333333"/>
          <w:kern w:val="0"/>
          <w:sz w:val="24"/>
          <w:szCs w:val="24"/>
          <w:highlight w:val="none"/>
        </w:rPr>
        <w:t>RS</w:t>
      </w:r>
      <w:r>
        <w:rPr>
          <w:rFonts w:ascii="Times New Roman" w:hAnsi="Times New Roman" w:eastAsia="宋体" w:cs="Times New Roman"/>
          <w:color w:val="333333"/>
          <w:kern w:val="0"/>
          <w:sz w:val="24"/>
          <w:szCs w:val="24"/>
          <w:highlight w:val="none"/>
        </w:rPr>
        <w:t>”) contract to regulate RS-related activities on the Zhengzhou Commodity Exchange (the “</w:t>
      </w:r>
      <w:r>
        <w:rPr>
          <w:rFonts w:ascii="Times New Roman" w:hAnsi="Times New Roman" w:eastAsia="宋体" w:cs="Times New Roman"/>
          <w:b/>
          <w:bCs/>
          <w:color w:val="333333"/>
          <w:kern w:val="0"/>
          <w:sz w:val="24"/>
          <w:szCs w:val="24"/>
          <w:highlight w:val="none"/>
        </w:rPr>
        <w:t>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653" w:hanging="1652" w:hangingChars="686"/>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Members, clients, delivery warehouses, Board Delivery service providers, Designated Quality Inspection Agencies, and other participants of the futures market shall comply with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Trading</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a contract size of 10 metric tons/lot.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a minimum price fluctuation of 1 yuan/metric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the following delivery months: July, August,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the following trading hours: 9:00 – 11:30</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 xml:space="preserve">and </w:t>
      </w:r>
      <w:r>
        <w:rPr>
          <w:rFonts w:hint="eastAsia" w:ascii="Times New Roman" w:hAnsi="Times New Roman" w:eastAsia="宋体" w:cs="Times New Roman"/>
          <w:color w:val="333333"/>
          <w:kern w:val="0"/>
          <w:sz w:val="24"/>
          <w:szCs w:val="24"/>
          <w:highlight w:val="none"/>
        </w:rPr>
        <w:t>13</w:t>
      </w:r>
      <w:r>
        <w:rPr>
          <w:rFonts w:ascii="Times New Roman" w:hAnsi="Times New Roman" w:eastAsia="宋体" w:cs="Times New Roman"/>
          <w:color w:val="333333"/>
          <w:kern w:val="0"/>
          <w:sz w:val="24"/>
          <w:szCs w:val="24"/>
          <w:highlight w:val="none"/>
        </w:rPr>
        <w:t>:30</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 xml:space="preserve">– </w:t>
      </w:r>
      <w:r>
        <w:rPr>
          <w:rFonts w:hint="eastAsia" w:ascii="Times New Roman" w:hAnsi="Times New Roman" w:eastAsia="宋体" w:cs="Times New Roman"/>
          <w:color w:val="333333"/>
          <w:kern w:val="0"/>
          <w:sz w:val="24"/>
          <w:szCs w:val="24"/>
          <w:highlight w:val="none"/>
        </w:rPr>
        <w:t>15</w:t>
      </w:r>
      <w:r>
        <w:rPr>
          <w:rFonts w:ascii="Times New Roman" w:hAnsi="Times New Roman" w:eastAsia="宋体" w:cs="Times New Roman"/>
          <w:color w:val="333333"/>
          <w:kern w:val="0"/>
          <w:sz w:val="24"/>
          <w:szCs w:val="24"/>
          <w:highlight w:val="none"/>
        </w:rPr>
        <w:t>:00, with a break at 10:15 – 10:30.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Exchange announces the creation of a night session for the RS contract, the trading hours specified in that announcement shall prevail. The Exchange may suspend, cancel, or adjust the trading hours of the night session for RS contract based on market conditions, the specifics of which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the following Last Trading Day: the 10th trading day of the delivery month.</w:t>
      </w:r>
    </w:p>
    <w:p>
      <w:pPr>
        <w:widowControl/>
        <w:spacing w:after="312" w:afterLines="100" w:line="276" w:lineRule="auto"/>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the following product code: RS.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may be delivered by exchange of futures for physical, delivery with standard delivery warehouse receipts, and Board Delivery.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Rolling Delivery for RS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specific delivery procedures are governed by the applicable provisions of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these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a delivery unit of 10 metric tons.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the following Last Delivery Day: the 13th trading day of the delivery month for delivery with standard warehouse receipts, and the 20th day of the month following the delivery month for Board Delivery.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RS are all standard delivery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standard warehouse receipts for SR are all non-general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Requests to register standard warehouse receipts for RS are accepted starting from June 1 in a given year; the standard warehouse receipts thus created are valid till the last business day (inclusive) in November of the same year.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Delivery of RS shall be made against a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warehouses and Board Delivery service providers for RS and the relevant premiums and discounts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delivery price of PTA futures is the tax-included price (including packaging fees) at which the benchmark deliverable is delivered at a benchmark Board Delivery service provider, or through a load-out from a benchmark delivery warehouse, onto a truck.</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a standard warehouse receipt for RS shall bear all the expenses incurred before the commodity is transported to the designated storage location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In a Board Delivery of RS, the seller shall bear all the expenses incurred before the commodity is loaded onto the truck at the Board Delivery service provider or another delivery point agreed to by the parties; the buyer shall bear all the expenses incurred thereafter. Where the buyer agrees to pick up the commodity at the warehouse or the seller agrees to deliver the commodity to the buyer, the parties may agree on the freight expenses they each bear in accordance with their respective distance to the Board Delivery service provider.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rates of delivery fees, storage fees, load-in and load-out fees, inspection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cost of packaging materials for sugar is included in the price of the corresponding futures contract and is not charged separately.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in relation to the creation, negotiation, and cancellation of standard warehouse receipts for RS that is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hint="eastAsia" w:ascii="Times New Roman" w:hAnsi="Times New Roman" w:eastAsia="宋体" w:cs="Times New Roman"/>
          <w:b/>
          <w:bCs/>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of RS is governed by national standards and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deliverable is rapeseed with oil content ≥ 38.0%, moisture content ≤ 9.0%, foreign materials ≤ 3.0%, heat-damaged kernel ≤ 2.0%, moldy kernel ≤ 2.0%, and normal color and aroma. The foregoing oil content is expressed on an 8% moisture basis.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definition of quality indicators, requirements on food safety indicators, and testing methods are governed by</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“Rapeseed”</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(GB/T 11762-2006).</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hint="eastAsia" w:ascii="Times New Roman" w:hAnsi="Times New Roman" w:eastAsia="宋体" w:cs="Times New Roman"/>
          <w:b/>
          <w:bCs/>
          <w:color w:val="333333"/>
          <w:kern w:val="0"/>
          <w:sz w:val="24"/>
          <w:szCs w:val="24"/>
          <w:highlight w:val="none"/>
        </w:rPr>
        <w:t>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substitute deliverables and their premiums and discounts are as follows: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70 yuan/metric ton premium applies for every 1% oil content greater than 38.0% (no premium for difference less than 1%), subject to a cap at 42.0%; a 70 yuan/metric ton discount applies for every 1% oil content less than 38.0%, with delivery not permitted for oil content less than 35%.</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30 yuan/metric ton premium applies for every 0.5% foreign materials less than 3.0% (no premium for difference less than 0.5%), subject to a floor at 2.0%; a 30 yuan/metric ton discount applies for every 0.5% foreign materials greater than 3.0% (no discount for difference less than 0.5%). Rapeseed with foreign materials greater than 3.0% may not be delivered against standard warehouse receipts. Rapeseed with foreign materials greater than 4.0% may not be delivered through Board Delivery.</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Rapeseed with moisture content greater than 9.0% may not be delivered against standard warehouse receipts. In a Board Delivery, a 30 yuan/metric ton discount applies for every 0.5% moisture content greater than 9.0% (no discount for difference less than 0.5%). Moisture content greater than 12.0% may not be delivered.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Rapeseed shall be delivered in woven polypropylene bags. Each bag shall measure 1,100-1,250 mm in length and 650-750 mm in width and sealed with a sealing machine, and contain no less than 60 kg of rapeseed. The woven polypropylene bag shall be clean, strong, and breathable, free of holes, leakage, toxic materials, and mildew.</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packaging specifications shall be consistent for each shipment of rapeseed delivered by the same client.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Delivery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load-in deposit of RMB 30 yuan/metric ton shall be paid to the delivery warehouse at the submission of a delivery intention for RS.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Notice issued by a RS delivery warehouse is valid for forty (40) calendar days.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delivery warehouse conducts weight inspection on rapeseed at load-in. The weight inspection is conducted with the vehicle driving over a truck scale at the delivery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quality inspection of rapeseed is to be conducted by the delivery warehouse, who may entrust the inspection partially or wholly to a Designated Quality Inspection Agency. The inspection fees shall be borne by the delivery warehouse. Samples for a load-in inspection shall be taken by the delivery warehouse before unloading. Each sample shall be immediately partitioned into two parts of 1 kg each. One part shall be selected at random by the delivery warehouse for inspection; the other shall be signed and sealed by both the delivery warehouse and the registrant of the standard warehouse receipt, and securely kept by the delivery warehouse.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delivery warehouse shall issue the results of inspection within twenty-four (24) hours of completion of sampling for each shipment, and notify the registrant in a timely manner.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registrant that objects to the results of load-in quality inspection may request the Exchange for a re-inspection. The specific procedures are governed by the “Load-in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In the event that the rapeseed at load-in falls short of the standards for delivery, the delivery warehouse may provide sorting services with the approval of the registrant.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standard warehouse receipts shall be present at the weight inspection and load-in sampling of rapeseed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After the commodity is loaded in, the delivery warehouse shall record in a file such information as the name, contact person, and contact information of the registrant; load-in quantity; and the storehouse and stack location, which information shall be confirmed by the registrant with signature.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Rapeseed is stored in piles upon load-in. The rapeseed loaded in by different registrants may not be commingled.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delivery warehouse receipt for rapeseed,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rapeseed shall be jointly conducted by the delivery warehouse and the pick-up person in reference to the rules on load-in weight inspection.</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(moisture content excluded) shall be made up by the delivery warehouse to the specified load-out weight in a timely manner; failing which, the delivery warehouse shall compensate the pick-up person for the price of the missing commodity based on the highest final settlement price of the RS contract in the nearby month up to and including the date the Pick-up Notice is issued.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pick-up person that objects to the quality of the rapeseed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Rapeseed with 0.5 percentage points lower oil content at load-out compared with load-in is deemed deliverable.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Board Delivery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seller shall, at the time of submitting the delivery request for a Board Delivery, also provide information on the commodity it intends to deliver, including but not limited to product type, grade, quantity, year of production, Board Delivery service provider, and storage point.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buyer and a seller shall, within three (3) trading days from the Third Delivery Day (inclusive), discuss details about the Board Delivery to finalize the settlement method, delivery point, and the method and time of delivery, and enter into a Board Delivery Agreement.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buyer shall submit the Board Delivery Confirmation Form to the member service system through its carrying Member before 1:30 p.m. on the third trading day from the Third Delivery Day (inclusive); the selling Member shall confirm it before 3:00 p.m. on the same day. Information in the Board Delivery Confirmation Form shall comply with the provisions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be consistent with the agreement between the parties, or the Board Delivery Confirmation Form is deemed unsubmitted. Non-submission by the buyer or non-confirmation by the seller within the specified time limit constitutes a default, which will be handled in accordance with the “Handling of Delivery Defaults”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buyer of RS contract is entitled to pick up the commodity at either the seller’s storage location or at the Board Delivery service provider. If the buyer and the seller have agreed on a delivery location, such delivery location is in effect; otherwise, the buyer may specify a Board Delivery service provider in the Board Delivery Confirmation Form and the seller shall make delivery in accordance with the buyer’s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In a delivery at a Board Delivery service provider, the buyer and the seller shall, within three (3) business days after both have confirmed the Board Delivery Confirmation Form, contact the Board Delivery service provider to sign the transit agreement and make arrangements for the delivery.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buyer and the seller shall start making and taking delivery within three (3) calendar days from the execution date (inclusive) of the transit agreement. The seller shall deliver the commodity to the Board Delivery service provider in accordance with the schedule and shipment speed agreed upon. The buyer shall complete quality inspection within twenty-four (24) hours of the commodity’s arrival and load and ship the commodity out within twenty-four (24) hours after it passes the quality inspection. In a large delivery, the seller may make delivery in multiple shipments and the buyer may inspect and transship the commodity accordingly. Unless otherwise agreed between the parties, the seller’s daily shipment volume shall be no less than 300 metric tons/day. The seller is not liable for the quality of any shipment of commodity that, for reasons attributable to the buyer, cannot be loaded for shipment by the buyer within the prescribed time limit.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In a delivery at the seller’s storage location, the parties may seal the inspected commodity or the warehouse that stores it with lock, seal, or other method they have agreed upon. Where during the course of storage the seller needs to open the warehouse for ventilation or turning, the buyer shall arrive at the warehouse within twenty-four (24) hours of receiving the seller’s notice and cooperate. The seller is responsible for the safekeeping of any commodity awaiting shipment. If any commodity awaiting shipment becomes affected by moisture or mold due to mismanagement, the buyer is entitled to demand a re-sampling or re-inspection which the seller may not refuse.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storage facility at a seller’s storage location shall meet the following criteria:</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being conveniently located and accessible by trucks with a payload capacity of 30 metric tons;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having well-functioning measuring facilities, and a scale that is certified by a nationally accredited technical supervision organization and within the validity period of the certification, and supports a maximum capacity of no lower than 60 metric tons;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having a large fulfillment capacity and a daily shipment volume of no less than 300 metric tons/day, unless otherwise agreed by the parties; and</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having the quality inspection and testing equipment that is needed by futures deliverables, meets the testing provisions under national standards, and is in good working conditions.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seller is liable for the consequences arising from the storage facility’s non-compliance with the above criteria.</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buyer shall conduct an on-site inspection on the quality of the commodity before loading and shipment and the seller shall cooperate. The parties shall jointly take a sample in accordance with national standards, immediately divide the sample into two parts, and select one at random for joint testing either on-site or at another location they have agreed to. The remaining part shall be signed and sealed by both parties as the sample for re-inspection when a quality dispute arises.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multiple inspections have been conducted for a series of shipments, the final quality is based on the average result of inspections weighted by the quantity in each shipment.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Upon the acceptance of quality, the parties shall sign a Quality Acceptance Form as the basis for determining the quality and premiums/discounts of the commodity delivered.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dispute between a buyer and a seller over quality shall be resolved through negotiation first; failing which, they shall notify the Exchange in a timely manner. The parties shall jointly mail the sample for re-inspection to a Designated Quality Inspection Agency or another quality inspection agency they choose. The quality of the commodity is determined by the results of re-inspection. The mailing cost and re-inspection fees are jointly borne by the parties.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seller shall promptly replace any commodity awaiting shipment that does not meet the standards of delivery. If replacement is infeasible, the parties may jointly determine a solution; failing which, the situation will be handled in accordance with the “Handling of Delivery Defaults”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buyer shall be present at the shipment of commodity to inspect the commodity and monitor the loading and transport process; the seller shall assign sufficient manpower and equipment to ensure a smooth shipping process. The weight inspection shall be conducted with a truck scale at the shipping location or by another measuring method acceptable to both parties.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Upon completion of the shipping stage, the weight of the commodity shipped is determined by the verified aggregate number on the weight note signed daily by the parties. The parties shall then sign the Weight Acceptance Form as the basis for determining the weight of the commodity delivered.</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buyer and the seller have the right to verify the accuracy of the scale. If there is any concern over accuracy, the parties shall stop the delivery process and notify the Exchange in writing. The Exchange will organize a national supervisor of measurement technologies to conduct on-site testing; relevant costs such as travel expenses, transport fare, and testing fees shall be borne by the party at fault.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delivery is delayed because the buyer and seller fail to make and take delivery in accordance with the previously agreed shipment time and speed, they shall jointly determine a solution; failing which, the non-defaulting party may submit to the Exchange a request for compensation along with its supporting materials. Once verified, the Exchange will deduct a late fee from the party at fault and transfer it to the non-defaulting party as compensation. The amount of late fee = Σ[5 yuan/metric ton/day × days delayed × commodity quantity yet to be shipped or picked up].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If shipment or pick-up cannot be made as scheduled due to a force majeure event, the shipment or pick-up time may be postponed accordingly.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Risk Management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hint="eastAsia" w:ascii="Times New Roman" w:hAnsi="Times New Roman" w:eastAsia="宋体" w:cs="Times New Roman"/>
          <w:b/>
          <w:bCs/>
          <w:color w:val="333333"/>
          <w:kern w:val="0"/>
          <w:sz w:val="24"/>
          <w:szCs w:val="24"/>
          <w:highlight w:val="none"/>
        </w:rPr>
        <w:t>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a minimum Trading Margin rate of 5% of contract value.</w:t>
      </w:r>
    </w:p>
    <w:p>
      <w:pPr>
        <w:widowControl/>
        <w:spacing w:after="312" w:afterLines="100" w:line="276" w:lineRule="auto"/>
        <w:ind w:left="720" w:firstLine="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Trading Margin rate of RS contract varies as follows:</w:t>
      </w:r>
    </w:p>
    <w:tbl>
      <w:tblPr>
        <w:tblStyle w:val="4"/>
        <w:tblW w:w="0" w:type="auto"/>
        <w:tblInd w:w="1440" w:type="dxa"/>
        <w:tblLayout w:type="autofit"/>
        <w:tblCellMar>
          <w:top w:w="0" w:type="dxa"/>
          <w:left w:w="0" w:type="dxa"/>
          <w:bottom w:w="0" w:type="dxa"/>
          <w:right w:w="0" w:type="dxa"/>
        </w:tblCellMar>
      </w:tblPr>
      <w:tblGrid>
        <w:gridCol w:w="4353"/>
        <w:gridCol w:w="2729"/>
      </w:tblGrid>
      <w:tr>
        <w:tblPrEx>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Margin rate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RS contract has a price limit of ±4% of the settlement price of the preceding trading day.</w:t>
      </w:r>
    </w:p>
    <w:p>
      <w:pPr>
        <w:widowControl/>
        <w:spacing w:after="312" w:afterLines="100" w:line="276" w:lineRule="auto"/>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position limit of a particular RS contract varies as follows:</w:t>
      </w:r>
    </w:p>
    <w:tbl>
      <w:tblPr>
        <w:tblStyle w:val="4"/>
        <w:tblW w:w="0" w:type="auto"/>
        <w:tblInd w:w="1435" w:type="dxa"/>
        <w:tblLayout w:type="autofit"/>
        <w:tblCellMar>
          <w:top w:w="0" w:type="dxa"/>
          <w:left w:w="0" w:type="dxa"/>
          <w:bottom w:w="0" w:type="dxa"/>
          <w:right w:w="0" w:type="dxa"/>
        </w:tblCellMar>
      </w:tblPr>
      <w:tblGrid>
        <w:gridCol w:w="3916"/>
        <w:gridCol w:w="3171"/>
      </w:tblGrid>
      <w:tr>
        <w:tblPrEx>
          <w:tblCellMar>
            <w:top w:w="0" w:type="dxa"/>
            <w:left w:w="0" w:type="dxa"/>
            <w:bottom w:w="0" w:type="dxa"/>
            <w:right w:w="0" w:type="dxa"/>
          </w:tblCellMar>
        </w:tblPrEx>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Maximum long position or short position held by a non-futures brokerage Member or client (lot)</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10,000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500</w:t>
            </w:r>
          </w:p>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(0 for individuals)</w:t>
            </w:r>
          </w:p>
        </w:tc>
      </w:tr>
    </w:tbl>
    <w:p>
      <w:pPr>
        <w:widowControl/>
        <w:spacing w:before="312" w:beforeLines="100" w:after="156" w:afterLines="5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Exchange adjusts the Trading Margin rate or price limit of RS contract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Risk Control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5</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violation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will be handled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Violations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reserves the right to interpret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1248" w:afterLines="4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 xml:space="preserve">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(This English version is for reference ONLY. In case of any inconsistency between the different language versions, the Chinese version prevails.)</w:t>
      </w:r>
    </w:p>
    <w:p>
      <w:pPr>
        <w:spacing w:after="312" w:afterLines="100" w:line="276" w:lineRule="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0C8"/>
    <w:rsid w:val="001972EB"/>
    <w:rsid w:val="001F3E3E"/>
    <w:rsid w:val="00226930"/>
    <w:rsid w:val="0046572D"/>
    <w:rsid w:val="005049B1"/>
    <w:rsid w:val="006C6948"/>
    <w:rsid w:val="009A11ED"/>
    <w:rsid w:val="009F6B2D"/>
    <w:rsid w:val="009F71F4"/>
    <w:rsid w:val="00A41E94"/>
    <w:rsid w:val="00BA6927"/>
    <w:rsid w:val="00D347CD"/>
    <w:rsid w:val="00EB60C8"/>
    <w:rsid w:val="00FB2370"/>
    <w:rsid w:val="1FE54448"/>
    <w:rsid w:val="BFBF5687"/>
    <w:rsid w:val="F3E75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hidden-xs"/>
    <w:basedOn w:val="5"/>
    <w:qFormat/>
    <w:uiPriority w:val="0"/>
  </w:style>
  <w:style w:type="character" w:customStyle="1" w:styleId="8">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3512</Words>
  <Characters>20023</Characters>
  <Lines>166</Lines>
  <Paragraphs>46</Paragraphs>
  <TotalTime>0</TotalTime>
  <ScaleCrop>false</ScaleCrop>
  <LinksUpToDate>false</LinksUpToDate>
  <CharactersWithSpaces>23489</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2024-01-24T08:10:00Z</dcterms:created>
  <dc:creator>李柯颖</dc:creator>
  <cp:lastModifiedBy>管玉箫</cp:lastModifiedBy>
  <dcterms:modified xsi:type="dcterms:W3CDTF">2024-02-02T14:15:46Z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63D674A493509099F296B8652CC03170</vt:lpwstr>
  </property>
</Properties>
</file>