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rPr>
      </w:pPr>
      <w:r>
        <w:rPr>
          <w:rFonts w:ascii="Times New Roman" w:hAnsi="Times New Roman" w:eastAsia="宋体" w:cs="Times New Roman"/>
          <w:b/>
          <w:bCs/>
          <w:color w:val="333333"/>
          <w:kern w:val="0"/>
          <w:sz w:val="28"/>
          <w:szCs w:val="28"/>
        </w:rPr>
        <w:t>Detailed Rules of Zhengzhou Commodity Exchange for Purified Terephthalic Acid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are made in accordance with the </w:t>
      </w:r>
      <w:r>
        <w:rPr>
          <w:rFonts w:ascii="Times New Roman" w:hAnsi="Times New Roman" w:eastAsia="宋体" w:cs="Times New Roman"/>
          <w:i/>
          <w:iCs/>
          <w:color w:val="333333"/>
          <w:kern w:val="0"/>
          <w:sz w:val="24"/>
          <w:szCs w:val="24"/>
        </w:rPr>
        <w:t>Trading Rules of Zhengzhou Commodity Exchange</w:t>
      </w:r>
      <w:r>
        <w:rPr>
          <w:rFonts w:ascii="Times New Roman" w:hAnsi="Times New Roman" w:eastAsia="宋体" w:cs="Times New Roman"/>
          <w:color w:val="333333"/>
          <w:kern w:val="0"/>
          <w:sz w:val="24"/>
          <w:szCs w:val="24"/>
        </w:rPr>
        <w:t xml:space="preserve"> and the purified terephthalic acid (“</w:t>
      </w:r>
      <w:r>
        <w:rPr>
          <w:rFonts w:ascii="Times New Roman" w:hAnsi="Times New Roman" w:eastAsia="宋体" w:cs="Times New Roman"/>
          <w:b/>
          <w:bCs/>
          <w:color w:val="333333"/>
          <w:kern w:val="0"/>
          <w:sz w:val="24"/>
          <w:szCs w:val="24"/>
        </w:rPr>
        <w:t>PTA</w:t>
      </w:r>
      <w:r>
        <w:rPr>
          <w:rFonts w:ascii="Times New Roman" w:hAnsi="Times New Roman" w:eastAsia="宋体" w:cs="Times New Roman"/>
          <w:color w:val="333333"/>
          <w:kern w:val="0"/>
          <w:sz w:val="24"/>
          <w:szCs w:val="24"/>
        </w:rPr>
        <w:t>”) futures (“TA”) contract to regulate TA-related activities on the Zhengzhou Commodity Exchange (the “</w:t>
      </w:r>
      <w:r>
        <w:rPr>
          <w:rFonts w:ascii="Times New Roman" w:hAnsi="Times New Roman" w:eastAsia="宋体" w:cs="Times New Roman"/>
          <w:b/>
          <w:bCs/>
          <w:color w:val="333333"/>
          <w:kern w:val="0"/>
          <w:sz w:val="24"/>
          <w:szCs w:val="24"/>
        </w:rPr>
        <w:t>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Members, overseas brokers,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Trading</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contract size of 5 metric tons/lot.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minimum price fluctuation of 2 yuan/metric ton.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the following delivery months: every month from January to December.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is traded during night session hours and day session hours.</w:t>
      </w:r>
      <w:r>
        <w:rPr>
          <w:rFonts w:hint="eastAsia" w:ascii="Times New Roman" w:hAnsi="Times New Roman" w:eastAsia="宋体" w:cs="Times New Roman"/>
          <w:color w:val="333333"/>
          <w:kern w:val="0"/>
          <w:sz w:val="24"/>
          <w:szCs w:val="24"/>
        </w:rPr>
        <w:t xml:space="preserve"> </w:t>
      </w:r>
      <w:r>
        <w:rPr>
          <w:rFonts w:ascii="Times New Roman" w:hAnsi="Times New Roman" w:eastAsia="宋体" w:cs="Times New Roman"/>
          <w:color w:val="333333"/>
          <w:kern w:val="0"/>
          <w:sz w:val="24"/>
          <w:szCs w:val="24"/>
        </w:rPr>
        <w:t xml:space="preserve">The night session hours are </w:t>
      </w:r>
      <w:r>
        <w:rPr>
          <w:rFonts w:hint="eastAsia" w:ascii="Times New Roman" w:hAnsi="Times New Roman" w:eastAsia="宋体" w:cs="Times New Roman"/>
          <w:color w:val="333333"/>
          <w:kern w:val="0"/>
          <w:sz w:val="24"/>
          <w:szCs w:val="24"/>
        </w:rPr>
        <w:t>21</w:t>
      </w:r>
      <w:r>
        <w:rPr>
          <w:rFonts w:ascii="Times New Roman" w:hAnsi="Times New Roman" w:eastAsia="宋体" w:cs="Times New Roman"/>
          <w:color w:val="333333"/>
          <w:kern w:val="0"/>
          <w:sz w:val="24"/>
          <w:szCs w:val="24"/>
        </w:rPr>
        <w:t xml:space="preserve">:00 – </w:t>
      </w:r>
      <w:r>
        <w:rPr>
          <w:rFonts w:hint="eastAsia" w:ascii="Times New Roman" w:hAnsi="Times New Roman" w:eastAsia="宋体" w:cs="Times New Roman"/>
          <w:color w:val="333333"/>
          <w:kern w:val="0"/>
          <w:sz w:val="24"/>
          <w:szCs w:val="24"/>
        </w:rPr>
        <w:t>23</w:t>
      </w:r>
      <w:r>
        <w:rPr>
          <w:rFonts w:ascii="Times New Roman" w:hAnsi="Times New Roman" w:eastAsia="宋体" w:cs="Times New Roman"/>
          <w:color w:val="333333"/>
          <w:kern w:val="0"/>
          <w:sz w:val="24"/>
          <w:szCs w:val="24"/>
        </w:rPr>
        <w:t xml:space="preserve">:00. The day session hours are 9:00 – 11:30 and </w:t>
      </w:r>
      <w:r>
        <w:rPr>
          <w:rFonts w:hint="eastAsia" w:ascii="Times New Roman" w:hAnsi="Times New Roman" w:eastAsia="宋体" w:cs="Times New Roman"/>
          <w:color w:val="333333"/>
          <w:kern w:val="0"/>
          <w:sz w:val="24"/>
          <w:szCs w:val="24"/>
        </w:rPr>
        <w:t>13</w:t>
      </w:r>
      <w:r>
        <w:rPr>
          <w:rFonts w:ascii="Times New Roman" w:hAnsi="Times New Roman" w:eastAsia="宋体" w:cs="Times New Roman"/>
          <w:color w:val="333333"/>
          <w:kern w:val="0"/>
          <w:sz w:val="24"/>
          <w:szCs w:val="24"/>
        </w:rPr>
        <w:t xml:space="preserve">:30 – </w:t>
      </w:r>
      <w:r>
        <w:rPr>
          <w:rFonts w:hint="eastAsia" w:ascii="Times New Roman" w:hAnsi="Times New Roman" w:eastAsia="宋体" w:cs="Times New Roman"/>
          <w:color w:val="333333"/>
          <w:kern w:val="0"/>
          <w:sz w:val="24"/>
          <w:szCs w:val="24"/>
        </w:rPr>
        <w:t>15</w:t>
      </w:r>
      <w:r>
        <w:rPr>
          <w:rFonts w:ascii="Times New Roman" w:hAnsi="Times New Roman" w:eastAsia="宋体" w:cs="Times New Roman"/>
          <w:color w:val="333333"/>
          <w:kern w:val="0"/>
          <w:sz w:val="24"/>
          <w:szCs w:val="24"/>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suspension or cancellation of the night session or adjustment of the night session hours will be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the following product code: TA.</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may be delivered by exchange of futures for physical (“</w:t>
      </w:r>
      <w:r>
        <w:rPr>
          <w:rFonts w:ascii="Times New Roman" w:hAnsi="Times New Roman" w:eastAsia="宋体" w:cs="Times New Roman"/>
          <w:b/>
          <w:bCs/>
          <w:color w:val="333333"/>
          <w:kern w:val="0"/>
          <w:sz w:val="24"/>
          <w:szCs w:val="24"/>
        </w:rPr>
        <w:t>EFP</w:t>
      </w:r>
      <w:r>
        <w:rPr>
          <w:rFonts w:ascii="Times New Roman" w:hAnsi="Times New Roman" w:eastAsia="宋体" w:cs="Times New Roman"/>
          <w:color w:val="333333"/>
          <w:kern w:val="0"/>
          <w:sz w:val="24"/>
          <w:szCs w:val="24"/>
        </w:rPr>
        <w:t>”), delivery with standard delivery warehouse receipts, and delivery with standard factory warehouse receipts. TA may adopt either duty-paid delivery or Bonded Delivery.</w:t>
      </w:r>
    </w:p>
    <w:p>
      <w:pPr>
        <w:widowControl/>
        <w:spacing w:after="312" w:afterLines="100" w:line="276" w:lineRule="auto"/>
        <w:ind w:left="495" w:firstLine="720"/>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Rolling Delivery for TA is conducted through Response Matching.</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The specific delivery procedures are governed by the applicable provisions of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delivery unit of 5 metric tons.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TA may be classified into standard delivery warehouse receipts and standard factory warehouse receipts, and also into bonded standard warehouse receipts and duty-paid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standard warehouse receipts for TA are all general standard warehouse receipts.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Duty-paid standard warehouse receipts and bonded standard warehouse receipts are not interchangeable for TA.</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standard warehouse receipts for PTA registered on or before the 15th trading day of September of each year shall be cancelled on or before the 15th trading day of September of the same year.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Delivery of PTA with duty-paid standard warehouse receipts shall be made against a special VAT invoice; delivery of PTA with bonded standard warehouse receipts shall be made against a general VAT invoice or such other documents as recognized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delivery warehouses and factory warehouses for TA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premiums and discounts for a delivery warehouse or factory warehouse for TA are transferred when the corresponding standard warehouse receipts are registered or cancelled; the corresponding special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19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delivery price of TA is the tax-included price (including packaging fees) at which the benchmark deliverable is delivered through a load-out from a benchmark delivery warehouse onto a truck.</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a standard warehouse receipt shall bear all the expenses incurred before the commodity is transported to the designated storage location in the delivery warehouse as well as the expenses from loading the commodity onto the truck at load-out; the pick-up person shall bear all the expenses incurred after the commodity is loaded onto the truck.</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cost of packaging materials for PTA is included in the price of the corresponding futures contract and is not charged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in relation to the creation, negotiation, and cancellation of standard warehouse receipts for TA that is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Deliverable PTA shall conform to the quality specifications under </w:t>
      </w:r>
      <w:r>
        <w:rPr>
          <w:rFonts w:ascii="Times New Roman" w:hAnsi="Times New Roman" w:eastAsia="宋体" w:cs="Times New Roman"/>
          <w:i/>
          <w:iCs/>
          <w:color w:val="333333"/>
          <w:kern w:val="0"/>
          <w:sz w:val="24"/>
          <w:szCs w:val="24"/>
        </w:rPr>
        <w:t>National Standard of the People’s Republic of China “Purified Terephthalic Acid for Industrial Use”</w:t>
      </w:r>
      <w:r>
        <w:rPr>
          <w:rFonts w:ascii="Times New Roman" w:hAnsi="Times New Roman" w:eastAsia="宋体" w:cs="Times New Roman"/>
          <w:color w:val="333333"/>
          <w:kern w:val="0"/>
          <w:sz w:val="24"/>
          <w:szCs w:val="24"/>
        </w:rPr>
        <w:t xml:space="preserve"> (GB/T 32685-2016).</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benchmark deliverable is PTA meeting the quality standard for “Premier Grade” PTA under GB/T 32685-2016.</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requires deliverable brand registration. The benchmark deliverable must be PTA produced by a manufacturer approved by the Exchange. The list of approved manufacturers will be separately announced by, and subject to the adjustment of, the Exchange.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load-in deposit of RMB 30 yuan/metric ton shall be paid to the delivery warehouse at the submission of a delivery intention for TA.</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separate delivery intention shall be declared for the PTA produced by each manufacturer.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Notice issued by a PTA delivery warehouse is valid for fifteen (15) calendar days.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29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PTA that comes with damaged or wet packaging or shows signs of serious contamination, caking, or similar conditions may not be accepted by a delivery warehouse for load-in.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With respect to any request to register duty-paid standard warehouse receipts for domestically produced PTA, a Certificate of Quality issued by the manufacturer of the current shipment of PTA shall be presented to the delivery warehouse at the time of load-in to certify that the PTA meets the standard for delivery. The Certificate of Quality shall indicate the manufacturer, date of production, applicable quality standards, and quality inspection results for the current shipment of PTA, among other information.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With respect to any request to register duty-paid standard warehouse receipts for overseas-produced PTA, photocopies of the shipping documents, the PBC Customs Declaration Form for Import Goods, the Import Duty Payment Form, the VAT Withholding and Payment Form, as well as the Certificate of Quality and Certificate of Origin issued by the manufacturer, in each case affixed with the company seal of the requester of load-in, shall be presented to the delivery warehouse at the time of load-in. The registrant of the standard warehouse receipts shall sign a Guarantee of Lawful, Truthful, and Valid Documentations for Imported PTA for the documentations it provides.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With respect to any request to register bonded standard warehouse receipts for PTA, photocopies of the Certificate of Quality and Certificate of Origin issued by the manufacturer of the current shipment of PTA and of the other documentations required by the customs, in each case affixed with the company seal of the requester of load-in, shall be presented to the delivery warehouse at the time of load-in.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conducts weight inspection on PTA at load-in. Each pack of PTA has a net weight of 1 metric ton, 1.1 metric tons, or other weight prescribed by the Exchange. The weight inspection may be conducted through a combination of truck scale and weighing of randomly selected packs, or solely by weighing of randomly selected packs.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load-in quality inspection of PTA is to be conducted by a Designated Quality Inspection Agency; the inspection fees shall be borne by the registrant of the corresponding standard warehouse receipts. One sample shall be taken for every 550 metric tons of PTA and for any remaining quantity less than 550 metric tons. Each sample is to be partitioned into three parts, with two jointly sealed by the delivery warehouse and registrant and then sent or delivered to the Designated Quality Inspection Agency, and one kept by the delivery warehouse. The Designated Quality Inspection Agency shall issue and notify the delivery warehouse of the inspection results within five (5) business days of receiving each batch of samples.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Any registrant or delivery warehouse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may approve inspection-exempt brands for the deliverables of TA. The load-in quality inspection for PTA may be waived for any load-in request directly submitted by an inspection-exempt brand, and for any other registrant that has submitted to the Exchange and delivery warehouse a Commitment of Quality that is issued by an inspection-exempt brand and conforms to the requirements of the Exchange. The list of inspection-exempt brands for PTA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registrant of standard warehouse receipts shall be present at the weight inspection and load-in sampling of PTA to monitor the process. The delivery warehouse and the registrant shall confirm the inspection results with their signatures and seals and are jointly responsible for the genuine load-in of the PTA.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After the commodity is loaded in, the delivery warehouse shall record in a file such information as the name, contact person, and contact information of the registrant; load-in quantity; manufacturer;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not accept for load-in any domestic PTA that was produced more than ninety (90) days ago or any imported PTA that was shipped from an overseas location more than sixty (60) days ago.</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delivery warehouse receipt for PTA,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PTA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delivery warehouse in a timely manner; failing which, the delivery warehouse shall compensate the pick-up person for the price of the missing commodity based on the highest final settlement price of the TA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pick-up person that objects to the quality of the PTA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39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pick-up person shall not at load-out refuse to accept any shipment of PTA whose moisture content has changed under the normal storage conditions of the delivery warehouse but does not affect its normal 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delivery warehouse shall arrange the load-out of PTA by the “First in, First Out (FIFO)” principle.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 with Standard Factory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maximum number of standard warehouse receipts registerable by a PTA factory warehouse is determined by, and subject to the adjustment of,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 factory warehouse for PTA shall provide registration security in accordance with the rules of the Exchange before requesting to register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cancellation of a standard factory warehouse receipt for PTA,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In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load-out weight inspection of PTA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Any quantity shortage at load-out shall be made up by the factory warehouse in a timely manner; failing which, the factory warehouse shall compensate the pick-up person for the price of the missing commodity based on the highest final settlement price of the TA contract in the delivery month up to and including the date the Pick-up Notice is issued.</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pick-up person shall be present at the delivery location to monitor the delivery process, or be deemed to have accepted the load-out weight.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Unless otherwise agreed with the pick-up person, a factory warehouse shall ensure the commodity delivered meets the quality specifications of the Exchange for delivery.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At the time of load-out, the factory warehouse shall take samples in the presence of the pick-up person before the commodity is loaded onto the buyer’s transport vehicles, which samples shall be jointly confirmed and then jointly sealed by the parties. Each sample is to be partitioned into three parts, with one kept by the pick-up person and two by the factory warehouse. The samples shall be retained by the factory warehouse for thirty (30) calendar days after shipment and will serve as the basis for settling potential quality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Objection over weight shall be raised before load-out; objection over quality shall be raised within five (5) business days of load-out.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the factory warehouse or pick-up person fails to ship or pick up the commodity as planned, they shall discuss a solution in a timely manner and appropriately adjust the shipment speed or schedule. The party at fault shall additionally pay a late fee. The amount of late fee = Σ[5 yuan/metric ton/day × days delayed × commodity quantity yet to be shipped or picked up].</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TA contract in the nearby month × commodity quantity yet to be shipped × 120%.</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or the pick-up person is not liable for the late fee or liquidated damages if shipment or pick-up is delayed by weather or other force majeure events.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49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Bonded Standard Warehouse Receipts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1</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Creation</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are created in accordance with the Exchange’s rules for duty-paid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 bonded delivery warehouse shall, on the standard warehouse receipts to be created, clearly indicate whether the commodity concerned is bonded or duty-paid, and shall manage bonded and duty-paid commodities separately.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PTA produced by any overseas manufacturer on which China levies anti-dumping duties shall not be used for the registration of bonded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for PTA may be transferred or used in delivery, EFP, load-out, as margin, and for any other purposes prescribed by the Exchange.</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2</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Transfer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In any transfer of bonded standard warehouse receipts for PTA, the transfer of title and delivery payment shall be conducted through the Exchange. The buyer and seller shall submit the transfer request to the Exchange through their Members. The transfer price shall be within the price limit (excluding tax) of the nearby futures contract on the transfer request submission day.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Exchange will, after completing the transfer of title and delivery payment for the standard warehouse receipts, issue a Bonded Final Settlement Statement (tax and bookkeeping copy) to the seller and Bonded Final Settlement Statement (bookkeeping copy) to the buyer. Each Bonded Final Settlement Statement shall contain the price information, names of the buyer and seller and their carrying Members, place of manufacture, actual quantity delivered, time of delivery, and method of delivery. The “method of delivery” shall be noted as “transfer.”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 selling Member shall deliver the general VAT invoice to the Exchange before market close of the 7th trading day after the day on which the bonded standard warehouse receipts are transferred; failing which, the Exchange will withhold 5% of the delivery payment and handle the situation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3</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delivery matching of bonded standard warehouse receipts is conducted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Before 9:00 a.m. on the Third Delivery Day, a buying Member shall have fully paid any remaining delivery payment corresponding to the contract positions matched for delivery, where: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Delivery payment for bonded standard warehouse receipts = bonded final settlement price × quantity covered by the bonded standard warehouse receipts × contract size; bonded final settlement price = [(final settlement price – relevant expenses) / (1 + import VAT rate) – consumption tax] / (1 + import duty rate).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 preceding formula, “relevant expenses” include the fees and charges arising from such activities as import declaration, customs inspection, and customs broker services, the details of which will be separately published by the Exchange. Consumption tax is calculated based on weight and import duty is calculated based on price.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bonded final settlement price is published by the Exchange after market close on the matching day in the delivery month. Upon any change in national tax policies, the Exchange may adjust the formula for the bonded final settlement price, which will be published in a timely manner.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59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will, on the Third Delivery Day, deliver the bonded standard warehouse receipts submitted by the selling Member to the buying Member, transfer the delivery payment to the selling Member, and issue a Bonded Final Settlement Statement (tax and bookkeeping copy) to the seller and Bonded Final Settlement Statement (bookkeeping copy) and Bonded Final Settlement Statement (customs declaration copy) to the buyer. Each Bonded Final Settlement Statement shall contain the price information, names of the buyer and seller and their carrying Members, place of manufacture, actual quantity delivered, time of delivery, and method of delivery. The “method of delivery” shall be noted as “delivery.”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In a delivery of PTA with bonded standard warehouse receipts, the domestic seller shall issue a general VAT invoice to the selling Member and the overseas seller (excluding QFII and RQFII) or the overseas broker shall issue the relevant payment receipt to the selling Member; the selling Member shall issue a general VAT invoice to the Exchange; the Exchange shall issue a general VAT invoice to the buying Member; and the buying Member shall issue a general VAT invoice to the buyer or overseas broker.</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 selling Member shall deliver the general VAT invoice to the Exchange before market close of the 7th trading day after the Third Delivery Day (excluding the day); failing which, the Exchange will withhold 5% of the delivery payment and handle the situation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regarding the delivery of PTA with bonded standard warehouse receipts not covered by this section is governed by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4</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EFP</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In a bonded EFP in PTA, the transfer of bonded standard warehouse receipts and delivery payment is handled by the Exchange, the fees for which will be collected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When conducting clearing for bonded EFP in PTA, the Exchange will close out the corresponding futures positions of the buyer and seller and settle their profits and losses at the settlement price of the nearby futures contract for the day preceding the EFP request day, and transfer the delivery payment calculated on the basis of the final settlement price for bonded EFP. The Exchange publishes relevant information on completed bonded EFP at the end of each trading day.</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Delivery payment for bonded EFP = final settlement price for bonded EFP × quantity covered by the bonded standard warehouse receipts to be delivered in bonded EFP × contract size.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Where the final settlement price for bonded EFP = [(settlement price of the nearby TA contract for the day preceding the EFP request day – relevant expenses) / (1 + import VAT rate) – consumption tax] / (1 + import duty rate).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 preceding formula, “relevant expenses” include the fees and charges arising from such activities as import declaration, customs inspection, and customs broker services, the details of which will be separately published by the Exchange. Consumption tax is calculated based on weight and import duty is calculated based on price.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Exchange will, after market close of the day on which bonded EFP in PTA is approved, deliver the bonded standard warehouse receipts submitted by the selling Member to the buying Member, and issue a Bonded Final Settlement Statement (tax and bookkeeping copy) to the seller and Bonded Final Settlement Statement (bookkeeping copy) and Bonded Final Settlement Statement (customs declaration copy) to the buyer. Each Bonded Final Settlement Statement shall contain the price information, names of the buyer and seller and their carrying Members, place of manufacture, actual quantity delivered, time of delivery, and method of delivery. The “method of delivery” shall be noted as “EFP.”</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 selling Member shall deliver the general VAT invoice to the Exchange before market close of the 7th trading day after the day on which the EFP request is approved; failing which, the Exchange will withhold 5% of the delivery payment and handle the situation in accordance with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regarding EFP with bonded standard warehouse receipts for PTA not covered by this section is governed by the </w:t>
      </w:r>
      <w:r>
        <w:rPr>
          <w:rFonts w:ascii="Times New Roman" w:hAnsi="Times New Roman" w:eastAsia="宋体" w:cs="Times New Roman"/>
          <w:i/>
          <w:iCs/>
          <w:color w:val="333333"/>
          <w:kern w:val="0"/>
          <w:sz w:val="24"/>
          <w:szCs w:val="24"/>
        </w:rPr>
        <w:t>Futures Delivery Rules of Zhengzhou Commodity Exchange</w:t>
      </w:r>
      <w:r>
        <w:rPr>
          <w:rFonts w:ascii="Times New Roman" w:hAnsi="Times New Roman" w:eastAsia="宋体" w:cs="Times New Roman"/>
          <w:color w:val="333333"/>
          <w:kern w:val="0"/>
          <w:sz w:val="24"/>
          <w:szCs w:val="24"/>
        </w:rPr>
        <w:t xml:space="preserve"> and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 xml:space="preserve">. </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Margin Collateral</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Bonded standard warehouse receipts for PTA may be posted as margin. The Exchange calculates the benchmark value of the standard warehouse receipts based on the settlement price of the nearby futures contract for the trading day preceding the application day less the relevant taxes.</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Benchmark price of bonded standard warehouse receipts posted as margin = [(settlement price of the nearby futures contract for the day preceding the application day – relevant expenses) / (1 + import VAT rate) – consumption tax] / (1 + import duty rate).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In the preceding formula, “relevant expenses” include the fees and charges arising from such activities as import declaration, customs inspection, and customs broker services, the details of which will be separately published by the Exchange. Consumption tax is calculated based on weight and import duty is calculated based on price.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69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procedures for posting of bonded standard warehouse receipts for PTA as margin are governed by the </w:t>
      </w:r>
      <w:r>
        <w:rPr>
          <w:rFonts w:ascii="Times New Roman" w:hAnsi="Times New Roman" w:eastAsia="宋体" w:cs="Times New Roman"/>
          <w:i/>
          <w:iCs/>
          <w:color w:val="333333"/>
          <w:kern w:val="0"/>
          <w:sz w:val="24"/>
          <w:szCs w:val="24"/>
        </w:rPr>
        <w:t>Futures Clearing Rules of Zhengzhou Commodity Exchange</w:t>
      </w:r>
      <w:r>
        <w:rPr>
          <w:rFonts w:ascii="Times New Roman" w:hAnsi="Times New Roman" w:eastAsia="宋体" w:cs="Times New Roman"/>
          <w:color w:val="333333"/>
          <w:kern w:val="0"/>
          <w:sz w:val="24"/>
          <w:szCs w:val="24"/>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Section 6</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Cancellation and Load-Out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regarding the procedures and requirements for the cancellation of bonded standard warehouse receipts for PTA not covered by this section is governed by the </w:t>
      </w:r>
      <w:r>
        <w:rPr>
          <w:rFonts w:ascii="Times New Roman" w:hAnsi="Times New Roman" w:eastAsia="宋体" w:cs="Times New Roman"/>
          <w:i/>
          <w:iCs/>
          <w:color w:val="333333"/>
          <w:kern w:val="0"/>
          <w:sz w:val="24"/>
          <w:szCs w:val="24"/>
        </w:rPr>
        <w:t>Rules of Zhengzhou Commodity Exchange on Standard Warehouse Receipts</w:t>
      </w:r>
      <w:r>
        <w:rPr>
          <w:rFonts w:ascii="Times New Roman" w:hAnsi="Times New Roman" w:eastAsia="宋体" w:cs="Times New Roman"/>
          <w:color w:val="333333"/>
          <w:kern w:val="0"/>
          <w:sz w:val="24"/>
          <w:szCs w:val="24"/>
        </w:rPr>
        <w: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71</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Any holder of bonded standard warehouse receipts for PTA that intends to make customs declaration for import or to re-export the commodity out of China shall complete the corresponding procedures in accordance with the regulations of the local customs authority.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72</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Import declaration for bonded commodity shall be made at the final settlement price indicated on the Bonded Final Settlement Statement (customs declaration copy), to facilitate verification of the duty-paid price of PTA by the customs. The holder of the bonded standard warehouse receipts shall pay taxes in accordance with the customs regulations.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5</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Risk Management</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73</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minimum Trading Margin rate of 5% of contract value.</w:t>
      </w:r>
    </w:p>
    <w:p>
      <w:pPr>
        <w:widowControl/>
        <w:spacing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The Trading Margin rate of TA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20% of contract value</w:t>
            </w:r>
          </w:p>
        </w:tc>
      </w:tr>
    </w:tbl>
    <w:p>
      <w:pPr>
        <w:widowControl/>
        <w:spacing w:before="312" w:beforeLines="100"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74</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TA contract has a price limit of ±4% of the settlement price of the preceding trading day.</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75</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The position limit of a particular TA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575"/>
        <w:gridCol w:w="1757"/>
        <w:gridCol w:w="17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Trading period</w:t>
            </w:r>
          </w:p>
        </w:tc>
        <w:tc>
          <w:tcPr>
            <w:tcW w:w="3708"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2"/>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listing to the 15th calendar day of the month preceding the delivery month</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&lt; 500,000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shd w:val="clear" w:color="auto" w:fill="auto"/>
            <w:vAlign w:val="center"/>
          </w:tcPr>
          <w:p>
            <w:pPr>
              <w:widowControl/>
              <w:spacing w:before="60" w:after="60"/>
              <w:jc w:val="left"/>
              <w:rPr>
                <w:rFonts w:ascii="Times New Roman" w:hAnsi="Times New Roman" w:eastAsia="宋体" w:cs="Times New Roman"/>
                <w:color w:val="333333"/>
                <w:kern w:val="0"/>
                <w:sz w:val="24"/>
                <w:szCs w:val="24"/>
              </w:rPr>
            </w:pP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Open interest ≥ 500,000</w:t>
            </w:r>
          </w:p>
        </w:tc>
        <w:tc>
          <w:tcPr>
            <w:tcW w:w="18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 of open interest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From the 16th calendar day to the last calendar day of the month preceding the 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10,000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3868"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Delivery month</w:t>
            </w:r>
          </w:p>
        </w:tc>
        <w:tc>
          <w:tcPr>
            <w:tcW w:w="3708"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5,000</w:t>
            </w:r>
          </w:p>
          <w:p>
            <w:pPr>
              <w:widowControl/>
              <w:spacing w:before="60" w:after="60"/>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2"/>
              </w:rPr>
              <w:t>(0 for individuals)</w:t>
            </w:r>
          </w:p>
        </w:tc>
      </w:tr>
    </w:tbl>
    <w:p>
      <w:pPr>
        <w:widowControl/>
        <w:spacing w:before="312" w:beforeLines="100" w:after="312" w:afterLines="100" w:line="276" w:lineRule="auto"/>
        <w:ind w:left="1215"/>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76</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Where the Exchange adjusts the Trading Margin rate or price limit of TA contract in accordance with the </w:t>
      </w:r>
      <w:r>
        <w:rPr>
          <w:rFonts w:ascii="Times New Roman" w:hAnsi="Times New Roman" w:eastAsia="宋体" w:cs="Times New Roman"/>
          <w:i/>
          <w:iCs/>
          <w:color w:val="333333"/>
          <w:kern w:val="0"/>
          <w:sz w:val="24"/>
          <w:szCs w:val="24"/>
        </w:rPr>
        <w:t>Risk Control Rules of Zhengzhou Commodity Exchange</w:t>
      </w:r>
      <w:r>
        <w:rPr>
          <w:rFonts w:ascii="Times New Roman" w:hAnsi="Times New Roman" w:eastAsia="宋体" w:cs="Times New Roman"/>
          <w:color w:val="333333"/>
          <w:kern w:val="0"/>
          <w:sz w:val="24"/>
          <w:szCs w:val="24"/>
        </w:rPr>
        <w:t xml:space="preserve"> 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Chapter 6</w:t>
      </w:r>
      <w:r>
        <w:rPr>
          <w:rFonts w:ascii="Times New Roman" w:hAnsi="Times New Roman" w:eastAsia="等线"/>
          <w:b/>
          <w:bCs/>
          <w:kern w:val="0"/>
          <w:sz w:val="24"/>
          <w:szCs w:val="24"/>
        </w:rPr>
        <w:tab/>
      </w:r>
      <w:r>
        <w:rPr>
          <w:rFonts w:ascii="Times New Roman" w:hAnsi="Times New Roman" w:eastAsia="宋体" w:cs="Times New Roman"/>
          <w:b/>
          <w:bCs/>
          <w:color w:val="333333"/>
          <w:kern w:val="0"/>
          <w:sz w:val="24"/>
          <w:szCs w:val="24"/>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77</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violation of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will be handled in accordance with the </w:t>
      </w:r>
      <w:r>
        <w:rPr>
          <w:rFonts w:ascii="Times New Roman" w:hAnsi="Times New Roman" w:eastAsia="宋体" w:cs="Times New Roman"/>
          <w:i/>
          <w:iCs/>
          <w:color w:val="333333"/>
          <w:kern w:val="0"/>
          <w:sz w:val="24"/>
          <w:szCs w:val="24"/>
        </w:rPr>
        <w:t>Rules of Zhengzhou Commodity Exchange on Violations</w:t>
      </w:r>
      <w:r>
        <w:rPr>
          <w:rFonts w:ascii="Times New Roman" w:hAnsi="Times New Roman" w:eastAsia="宋体" w:cs="Times New Roman"/>
          <w:color w:val="333333"/>
          <w:kern w:val="0"/>
          <w:sz w:val="24"/>
          <w:szCs w:val="24"/>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78</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Any matter not covered by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rPr>
      </w:pPr>
      <w:r>
        <w:rPr>
          <w:rFonts w:ascii="Times New Roman" w:hAnsi="Times New Roman" w:eastAsia="宋体" w:cs="Times New Roman"/>
          <w:b/>
          <w:bCs/>
          <w:color w:val="333333"/>
          <w:kern w:val="0"/>
          <w:sz w:val="24"/>
          <w:szCs w:val="24"/>
        </w:rPr>
        <w:t>Article 79</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 Exchange reserves the right to interpret 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w:t>
      </w:r>
    </w:p>
    <w:p>
      <w:pPr>
        <w:widowControl/>
        <w:spacing w:after="1248" w:afterLines="4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rPr>
        <w:t>Article 80</w:t>
      </w:r>
      <w:r>
        <w:rPr>
          <w:rFonts w:ascii="Times New Roman" w:hAnsi="Times New Roman" w:eastAsia="等线"/>
          <w:b/>
          <w:bCs/>
          <w:kern w:val="0"/>
          <w:sz w:val="24"/>
          <w:szCs w:val="24"/>
        </w:rPr>
        <w:tab/>
      </w:r>
      <w:r>
        <w:rPr>
          <w:rFonts w:ascii="Times New Roman" w:hAnsi="Times New Roman" w:eastAsia="宋体" w:cs="Times New Roman"/>
          <w:color w:val="333333"/>
          <w:kern w:val="0"/>
          <w:sz w:val="24"/>
          <w:szCs w:val="24"/>
        </w:rPr>
        <w:t xml:space="preserve">These </w:t>
      </w:r>
      <w:r>
        <w:rPr>
          <w:rFonts w:ascii="Times New Roman" w:hAnsi="Times New Roman" w:eastAsia="宋体" w:cs="Times New Roman"/>
          <w:i/>
          <w:iCs/>
          <w:color w:val="333333"/>
          <w:kern w:val="0"/>
          <w:sz w:val="24"/>
          <w:szCs w:val="24"/>
        </w:rPr>
        <w:t>Detailed Rules</w:t>
      </w:r>
      <w:r>
        <w:rPr>
          <w:rFonts w:ascii="Times New Roman" w:hAnsi="Times New Roman" w:eastAsia="宋体" w:cs="Times New Roman"/>
          <w:color w:val="333333"/>
          <w:kern w:val="0"/>
          <w:sz w:val="24"/>
          <w:szCs w:val="24"/>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(This English version is for reference ONLY. In case of any inconsistency between the different language versions, the Chinese version prevails.)</w:t>
      </w:r>
    </w:p>
    <w:p>
      <w:pPr>
        <w:spacing w:line="276" w:lineRule="auto"/>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CDF"/>
    <w:rsid w:val="00133305"/>
    <w:rsid w:val="001346F1"/>
    <w:rsid w:val="00246FA6"/>
    <w:rsid w:val="002E5CDF"/>
    <w:rsid w:val="002F07F1"/>
    <w:rsid w:val="0036167F"/>
    <w:rsid w:val="00555B65"/>
    <w:rsid w:val="0064786E"/>
    <w:rsid w:val="007C1A04"/>
    <w:rsid w:val="00BB6611"/>
    <w:rsid w:val="00D1227F"/>
    <w:rsid w:val="00D8405D"/>
    <w:rsid w:val="00F7773F"/>
    <w:rsid w:val="7BD55D09"/>
    <w:rsid w:val="B25F6C37"/>
    <w:rsid w:val="CD7FB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4940</Words>
  <Characters>28164</Characters>
  <Lines>234</Lines>
  <Paragraphs>66</Paragraphs>
  <TotalTime>0</TotalTime>
  <ScaleCrop>false</ScaleCrop>
  <LinksUpToDate>false</LinksUpToDate>
  <CharactersWithSpaces>33038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2024-01-24T14:38:00Z</dcterms:created>
  <dc:creator>李柯颖</dc:creator>
  <cp:lastModifiedBy>管玉箫</cp:lastModifiedBy>
  <dcterms:modified xsi:type="dcterms:W3CDTF">2024-02-02T14:18:02Z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71F43EFECBB90A7B4F98B86533390DBF</vt:lpwstr>
  </property>
</Properties>
</file>