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Thermal Coal Futures</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3"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thermal coal futures (“</w:t>
      </w:r>
      <w:r>
        <w:rPr>
          <w:rFonts w:ascii="Times New Roman" w:hAnsi="Times New Roman" w:eastAsia="宋体" w:cs="Times New Roman"/>
          <w:b/>
          <w:bCs/>
          <w:color w:val="333333"/>
          <w:kern w:val="0"/>
          <w:sz w:val="24"/>
          <w:szCs w:val="24"/>
        </w:rPr>
        <w:t>ZC</w:t>
      </w:r>
      <w:r>
        <w:rPr>
          <w:rFonts w:ascii="Times New Roman" w:hAnsi="Times New Roman" w:eastAsia="宋体" w:cs="Times New Roman"/>
          <w:color w:val="333333"/>
          <w:kern w:val="0"/>
          <w:sz w:val="24"/>
          <w:szCs w:val="24"/>
        </w:rPr>
        <w:t>”) contract to regulate ZC-related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Members, clients, factory warehouses, Designated Quality Inspection Agencies, Board Delivery service providers,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contract size of 100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minimum price fluctuation of 0.2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ZC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jc w:val="left"/>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the following Last Trading Day: the 5th trading day of the delivery month.</w:t>
      </w:r>
    </w:p>
    <w:p>
      <w:pPr>
        <w:widowControl/>
        <w:spacing w:after="312" w:afterLines="100" w:line="276" w:lineRule="auto"/>
        <w:ind w:left="1215" w:hanging="1440"/>
        <w:jc w:val="left"/>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the following product code: ZC.</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 xml:space="preserve">Delivery </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may be delivered by exchange of futures for physical, delivery with standard factory warehouse receipts, and Board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Rolling Delivery for ZC is conducted through Response Matching. </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and these</w:t>
      </w:r>
      <w:r>
        <w:rPr>
          <w:rFonts w:ascii="Times New Roman" w:hAnsi="Times New Roman" w:eastAsia="宋体" w:cs="Times New Roman"/>
          <w:i/>
          <w:iCs/>
          <w:color w:val="333333"/>
          <w:kern w:val="0"/>
          <w:sz w:val="24"/>
          <w:szCs w:val="24"/>
        </w:rPr>
        <w:t xml:space="preserve"> 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delivery unit of 20,000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the following Last Delivery Day: the 8th trading day of the delivery month for delivery with standard warehouse receipts, and the last calendar day of the delivery month for 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ZC are all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ZC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thermal coal registered on or before the 10th trading day of May or November of each year shall be cancelled on or before the 10th trading day of May or November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Delivery of ZC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factory warehouses and Board Delivery service providers for ZC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delivery price of ZC is the tax-included price at which the benchmark deliverable is delivered at a benchmark delivery point through 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In a Board Delivery, all the expenses incurred before the commodity is loaded onto the truck or ship are borne by the seller; all the expenses incurred thereafter are borne by the buyer.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a load-out with standard factory warehouse receipts, all the expenses incurred before the commodity is loaded onto the truck, ship, or (in the case of pick-up with railcars) short-haul trucks is borne by the factory warehouse; all the expenses incurred thereafter are borne by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ZC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measurement of the quality indicators for thermal coal for delivery is governed by relevant national standards.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deliverable is thermal coal with net calorific value (as received basis) of 5,500 kcal/kg, total sulfur content (dry basis) ≤ 0.8%, 30% ≤ volatile matter (dry ash-free basis) ≤ 42%, ash content (dry basis) ≤ 30%, and total moisture content ≤ 25%.</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substitute deliverables and their premiums and discounts are as follows: thermal coal with net calorific value (as received basis) ≥ 4,300 kcal/kg, total sulfur content (dry basis) ≤ 1.5%, 30% ≤ volatile matter (dry ash-free basis) ≤ 42%, and ash content (dry basis) ≤ 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Settlement price for delivery payment (rounded to two decimal places)</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0.7687 / 4,500 × measured calorific value, if 4,300 kcal/kg ≤ net calorific value (as received basis) &lt; 4,800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0.8768 / 5,000 × measured calorific value, if 4,800 kcal/kg ≤ net calorific value (as received basis) &lt; 5,300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5,500 × measured calorific value, if net calorific value (as received basis) ≥ 5,300 kcal/kg; and</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the value calculated based on 6,000 kcal/kg, if net calorific value (as received basis) &gt; 6,000 kcal/kg.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0.8% &lt; total sulfur content (dry basis) ≤ 1.5%, then a discount of RMB 4 yuan/metric ton applies for every 0.1 percentage point (rounded to one decimal place) above 0.8%.</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Thermal coal with total moisture content greater than 25% is deliverable. Where total moisture content &gt; 25%, weight penalty applies in accordance with the amount of moisture (rounded to one decimal place) exceeding 25%. For example, a measured total moisture content of 26.32% corresponds to a weight penalty of 1.3%.</w:t>
      </w:r>
    </w:p>
    <w:p>
      <w:pPr>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Board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seller in Board Delivery shall, at the time of requesting for delivery, submit information on the commodity it plans to deliver, including but not limited to the delivery quantity, delivery point, net calorific value (as received basis), gross calorific value (dry basis), total sulfur (dry basis), volatile matter (dry basis), total moisture, ash content (dry basis), ash fusion temperature, coal type, place of production, and inspection report. The delivery point shall indicate a specific company at port. Where the thermal coal to be delivered is of a mixed variety, the types of coal in that mix shall be stated.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buyer and a seller shall, within three (3) trading days from the Third Delivery Day (inclusive), discuss details about the Board Delivery to finalize the settlement method, delivery point, and the method and time of delivery, and enter into a Board Delivery Agreement.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buyer shall submit the Board Delivery Confirmation Form to the member service system through its carrying Member before 1:30 p.m. on the third trading day from the Third Delivery Day (inclusive); the selling Member shall confirm it before 3:00 p.m. on the same day. Information in the Board Delivery Confirmation Form shall comply with the provisions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or be consistent with the agreement between the parties, or the Board Delivery Confirmation Form is deemed unsubmitted. Non-submission by the buyer or non-confirmation by the seller within the specified time limit constitutes a default, which will be handled in accordance with the “Handling of Delivery Defaults” section under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buyer has the right to inspect the quality of the commodity before shipment provided it bears all the related costs. The Designated Quality Inspection Agency shall take and test samples from a moving stream. If the inspection report shows that the commodity does not meet the standard for delivery, the seller is deemed to have committed a delivery default unless otherwise agreed by the parties. If the inspection report shows that the commodity meets the standard for delivery or if the buyer elects not to organize a quality inspection, the commodity shall be shipped as normal.</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buyer elects for truck transport, the trucks shall arrive at the location of the commodity within six (6) business days (inclusive) of the Third Delivery Day. Where the buyer elects for ship transport, all of the ships or the first group of them shall arrive at the designated anchorage at the location of the commodity within six (6) business days (inclusive) of the Third Delivery Day. The date of arrival may be postponed accordingly if a force majeure event is preventing the designated port from receiving cargo or if there are other special circumstances.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shall promptly notify the seller in writing (by fax affixed with its company seal) once its transport vehicles have arrived at the designated location. The seller shall, within one (1) calendar day of the day (exclusive) it receives the buyer’s notice, submit a service request to the relevant port service company at the designated port. The service request shall contain such information as the sampling and weighing methods prescribed by relevant rules or agreed upon by the parties.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by the buyer and seller, the quality inspection of thermal coal in Board Delivery shall be conducted when the commodity is loaded onto the truck or ship, with samples to be taken on a moving stream by the Designated Quality Inspection Agency selected by the buyer and engaged by the seller. After sampling and sample preparation, the samples shall be partitioned into four parts which shall be acknowledged by the buyer, the seller, and the Designated Quality Inspection Agency with their signatures and then sealed.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buyer and seller do not object to the results of inspection, such results will serve as the basis for determining the quality of the commodity. Any dispute between the buyer and the seller over quality shall be resolved through negotiation first; failing which, either party may submit a re-inspection request to the Exchange within five (5) business days of the day (exclusive) it receives the results of quality inspection with the payment of the re-inspection fees in advance. If no request for re-inspection is submitted within this time limit, the parties will be deemed to have accepted the results of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Quality re-inspection may be requested only once. The re-inspection is limited in scope to the measurement of the net calorific value (as received basis), total sulfur (dry basis), volatile matter (dry ash-free basis), and ash content (dry basis). The total moisture content established during the initial inspection will be used to calculate the net calorific value (as received basis). The re-inspection agency will be chosen by the Exchange from the list of Designated Quality Inspection Agencies; the samples used for re-inspection will be the samples taken, prepared, and preserved during the initial loading process.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re-inspection agency shall issue the results of re-inspection within three (3) business days from the date (exclusive) it receives the inspection notice from the Exchange, and notify the Exchange of the results in writing. The Exchange will then forward the results to the party that requested for the re-inspection. The results of re-inspection will serve as the basis for dispute resolution. The re-inspection fees shall be borne by the party at 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weight inspection of thermal coal in Board Delivery shall be conducted by a Designated Quality Inspection Agency or an Exchange-recognized measurement agency, unless otherwise agreed by the buyer and seller. Where the buyer is to receive the commodity by ship, the weight shall be measured by draft survey or, if it is impractical, by truck scale or belt scale as selected based on the circumstances by the Designated Quality Inspection Agency or measurement agency. Where the buyer is to receive the commodity by truck, the weight shall be measured by truck scale. Once the commodity is loaded onto the truck or ship, the Designated Quality Inspection Agency or measurement agency shall issue the certificate of weight in a timely manner, which will serve as the basis for determining the weight of the commodity delivered.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buyer and the seller have the right to verify the accuracy of the scale. If there is any concern over accuracy, the parties shall stop the delivery process and notify the Exchange in writing. The Exchange will organize a national supervisor of measurement technologies to conduct on-site testing; relevant costs such as travel expenses, transport fare, and testing fees shall be borne by the party at 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buyer is to receive the commodity with ship, the weight tolerance for each ship is within ±500 metric tons. The delivery payment for commodity within the weight tolerance will be settled by the Exchange in accordance with the actual weight; the delivery payment for any commodity exceeding the weight tolerance shall be settled by the buyer and seller themselves. Unless otherwise agreed by the parties, any shortage beyond the weight tolerance shall be made up by the seller to within the weight tolerance in a timely manner at loading; failing which, the Exchange will, at the time of calculating the delivery payment, make deductions at twice the amount of shortage beyond the weight tolerance.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formula for this deduction is: settlement weight for each ship = weight to be delivered – 500 – (weight to be delivered – 500 – weight as measured) × 2.</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delivery of thermal coal is delayed because the buyer’s transport vehicle fails to arrive at the port (or anchorage) of where the commodity is located within the agreed or prescribed time limit, or because the seller fails to complete preparing the commodity for delivery and submit the loading service request to the designated port within the agreed or prescribed time limit, the buyer and the seller shall jointly determine a solution through negotiation. failing which, the non-defaulting party may submit to the Exchange a request for compensation along with its supporting materials. Once verified, the Exchange will deduct a late fee from the party at fault and transfer it to the non-defaulting party as compensation. The amount of late fee = Σ[2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shipment or pick-up cannot be made as scheduled due to a force majeure event, the shipment or pick-up time may be postponed accordingly.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payment for any thermal coal already shipped shall be calculated to two decimal places based on the actual results of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Settlement price for delivery payment (rounded to two decimal places) </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5,500 × measured calorific value, if net calorific value (as received basis) ≥ 5,300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the value calculated based on 6,000 kcal/kg, if net calorific value (as received basis) &gt; 6,000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0.8768 / 5,000 × measured calorific value, if 4,800 kcal/kg ≤ net calorific value (as received basis) &lt; 5,300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0.7687 / 4,500 × measured calorific value, if 4,300 kcal/kg ≤ net calorific value (as received basis) &lt; 4,800 kcal/kg;</w:t>
      </w:r>
    </w:p>
    <w:p>
      <w:pPr>
        <w:widowControl/>
        <w:spacing w:after="312" w:afterLines="100" w:line="276" w:lineRule="auto"/>
        <w:ind w:left="193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final settlement price × 0.7687 / 4,500 × measured calorific value × 50%, if net calorific value (as received basis) &lt; 4,300 kcal/kg.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the net calorific value (as received basis) obtained during inspection is lower than that published by the seller at delivery matching by more than 300 kcal/kg, an additional RMB 5 yuan/metric ton penalty applies to the formulas above. If the measured value exceeds the published value by more than 300 kcal/kg, then for the calculation of the settlement price for the delivery payment, the net calorific value (as received basis) = the published value + 300.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the total sulfur (dry basis), volatile matter (dry ash-free basis), and ash content (dry basis) are beyond the range for deliverables, then the calculation of the settlement price for the delivery payment shall be made in the following order of net calorific value (as received basis), total sulfur (dry basis), volatile matter (dry ash-free basis), and ash content (dry basis). The specific formulas are as follows:</w:t>
      </w:r>
    </w:p>
    <w:tbl>
      <w:tblPr>
        <w:tblStyle w:val="5"/>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549"/>
        <w:gridCol w:w="353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78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keepNext/>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Indicator range</w:t>
            </w:r>
          </w:p>
        </w:tc>
        <w:tc>
          <w:tcPr>
            <w:tcW w:w="378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keepNext/>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Formula</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78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1.5% &lt; total sulfur (dry basis) ≤ 2.5%</w:t>
            </w:r>
          </w:p>
        </w:tc>
        <w:tc>
          <w:tcPr>
            <w:tcW w:w="378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80% × the value calculated from the measured calorific value and 1.5% total sulfur content (dry basis)</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78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Total sulfur (dry basis) &gt; 2.5%</w:t>
            </w:r>
          </w:p>
        </w:tc>
        <w:tc>
          <w:tcPr>
            <w:tcW w:w="378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 × the value calculated from the measured calorific value and 1.5% total sulfur content (dry basis)</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78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Volatile matter (dry ash-free basis) or ash content (dry basis) is beyond the range for deliverables</w:t>
            </w:r>
          </w:p>
        </w:tc>
        <w:tc>
          <w:tcPr>
            <w:tcW w:w="378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80% × the value calculated from the measured calorific value and the measured total sulfur content (dry basis)</w:t>
            </w:r>
          </w:p>
        </w:tc>
      </w:tr>
    </w:tbl>
    <w:p>
      <w:pPr>
        <w:widowControl/>
        <w:spacing w:before="312" w:beforeLines="100"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maximum number of standard warehouse receipts registerable by a ZC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ZC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At the time of registering standard factory warehouse receipts for thermal coal, the factory warehouse shall submit to the Exchange such information about the commodity as the net calorific value (as received basis), gross calorific value (dry basis), total sulfur (dry basis), volatile matter (dry basis), total moisture content, ash content (dry basis), ash fusion temperature, coal type, and place of production.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At the time of cancelling standard warehouse receipts for thermal coal, the pick-up person shall contact the relevant factory warehouse to discuss the quality and weight of the commodity to be picked up at least twenty (20) calendar days before the pick-up date. Where an agreement is reached between the pick-up person and the factory warehouse, the pick-up shall be conducted as they have agreed and any premiums and discounts shall be settled by and among themselves. Where no agreement is reached between the pick-up person and the factory warehouse, the pick-up person shall take delivery based on the commodity information provided by the factory warehouse when registering the standard warehouse receipts; any premiums and discounts will be settled by the Exchange upon the shipment of the commodity.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no agreement is reached, the determination of quality and the weight tolerance at time of pick-up by the pick-up person at the designated port are governed by the relevant provisions of Section 3 “Board Delivery” of this Chapter; the final settlement price is determined by the latest final settlement price of the ZC contract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pick-up person and the factory warehouse have agreed on the particulars of the commodity pick-up and submitted them to the Exchange, the Exchange will issue a Pick-up Notice to the pick-up person.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If the pick-up person and the factory warehouse have agreed to make and take delivery at a location other than a designated delivery point published by the Exchange, the relevant matters shall be governed by the agreement between the parties.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Pick-up of thermal coal at a port under a standard factory warehouse receipt shall be conducted in accordance with the provisions of Section 3 “Board Delivery” of this Chapter.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weight tolerance and quality inspection of thermal coal at pick-up are governed by the relevant provisions of Section 3 “Board Delivery” of this Chapter.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following the receipt of the quality inspection report. The re-inspection is limited in scope to the measurement of the net calorific value (as received basis), total sulfur (dry basis), volatile matter (dry ash-free basis), and ash content (dry basis). Only the previously retained samples may be used for re-inspection.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which shall be resolved by the parties through negotiation.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ZC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ZC contract varies as follows:</w:t>
      </w:r>
    </w:p>
    <w:tbl>
      <w:tblPr>
        <w:tblStyle w:val="5"/>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ZC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position limit of a particular ZC contract varies as follows:</w:t>
      </w:r>
    </w:p>
    <w:tbl>
      <w:tblPr>
        <w:tblStyle w:val="5"/>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16"/>
        <w:gridCol w:w="31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last calendar day of the 2nd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1st calendar day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400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Exchange adjusts the Trading Margin rate or price limit of ZC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keepNext/>
        <w:widowControl/>
        <w:spacing w:after="312" w:afterLines="100" w:line="276" w:lineRule="auto"/>
        <w:ind w:left="1215" w:hanging="144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hint="default" w:ascii="Times New Roman" w:hAnsi="Times New Roman" w:eastAsia="等线"/>
          <w:kern w:val="0"/>
          <w:sz w:val="24"/>
          <w:szCs w:val="24"/>
          <w:highlight w:val="none"/>
          <w:lang w:val="en-US"/>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after="312" w:afterLines="100"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91"/>
    <w:rsid w:val="00027A4C"/>
    <w:rsid w:val="00116D35"/>
    <w:rsid w:val="001477F8"/>
    <w:rsid w:val="0032403F"/>
    <w:rsid w:val="004855AA"/>
    <w:rsid w:val="00631FC7"/>
    <w:rsid w:val="0064786E"/>
    <w:rsid w:val="00935379"/>
    <w:rsid w:val="00965D45"/>
    <w:rsid w:val="00C10391"/>
    <w:rsid w:val="00C40BC4"/>
    <w:rsid w:val="00EF1C52"/>
    <w:rsid w:val="00F73634"/>
    <w:rsid w:val="00F807AC"/>
    <w:rsid w:val="DE1F0B21"/>
    <w:rsid w:val="F19F5236"/>
    <w:rsid w:val="FDF43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annotation subject"/>
    <w:basedOn w:val="2"/>
    <w:next w:val="2"/>
    <w:link w:val="12"/>
    <w:semiHidden/>
    <w:unhideWhenUsed/>
    <w:qFormat/>
    <w:uiPriority w:val="99"/>
    <w:rPr>
      <w:b/>
      <w:bCs/>
    </w:rPr>
  </w:style>
  <w:style w:type="character" w:styleId="7">
    <w:name w:val="Hyperlink"/>
    <w:basedOn w:val="6"/>
    <w:semiHidden/>
    <w:unhideWhenUsed/>
    <w:qFormat/>
    <w:uiPriority w:val="99"/>
    <w:rPr>
      <w:color w:val="333333"/>
      <w:u w:val="none"/>
      <w:shd w:val="clear" w:color="auto" w:fill="auto"/>
    </w:rPr>
  </w:style>
  <w:style w:type="character" w:styleId="8">
    <w:name w:val="annotation reference"/>
    <w:basedOn w:val="6"/>
    <w:semiHidden/>
    <w:unhideWhenUsed/>
    <w:qFormat/>
    <w:uiPriority w:val="99"/>
    <w:rPr>
      <w:sz w:val="21"/>
      <w:szCs w:val="21"/>
    </w:rPr>
  </w:style>
  <w:style w:type="character" w:customStyle="1" w:styleId="9">
    <w:name w:val="hidden-xs"/>
    <w:basedOn w:val="6"/>
    <w:qFormat/>
    <w:uiPriority w:val="0"/>
  </w:style>
  <w:style w:type="character" w:customStyle="1" w:styleId="10">
    <w:name w:val="批注框文本 Char"/>
    <w:basedOn w:val="6"/>
    <w:link w:val="3"/>
    <w:semiHidden/>
    <w:qFormat/>
    <w:uiPriority w:val="99"/>
    <w:rPr>
      <w:sz w:val="18"/>
      <w:szCs w:val="18"/>
    </w:rPr>
  </w:style>
  <w:style w:type="character" w:customStyle="1" w:styleId="11">
    <w:name w:val="批注文字 Char"/>
    <w:basedOn w:val="6"/>
    <w:link w:val="2"/>
    <w:semiHidden/>
    <w:qFormat/>
    <w:uiPriority w:val="99"/>
  </w:style>
  <w:style w:type="character" w:customStyle="1" w:styleId="12">
    <w:name w:val="批注主题 Char"/>
    <w:basedOn w:val="11"/>
    <w:link w:val="4"/>
    <w:semiHidden/>
    <w:qFormat/>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3767</Words>
  <Characters>21472</Characters>
  <Lines>178</Lines>
  <Paragraphs>50</Paragraphs>
  <TotalTime>0</TotalTime>
  <ScaleCrop>false</ScaleCrop>
  <LinksUpToDate>false</LinksUpToDate>
  <CharactersWithSpaces>25189</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2024-01-24T15:23:00Z</dcterms:created>
  <dc:creator>李柯颖</dc:creator>
  <cp:lastModifiedBy>管玉箫</cp:lastModifiedBy>
  <dcterms:modified xsi:type="dcterms:W3CDTF">2024-02-02T14:18:42Z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EE099AEA7AB66B17AB98B8659B9D08E4</vt:lpwstr>
  </property>
</Properties>
</file>