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after="312" w:afterLines="100"/>
        <w:jc w:val="center"/>
        <w:outlineLvl w:val="0"/>
        <w:rPr>
          <w:rFonts w:ascii="Times New Roman" w:hAnsi="Times New Roman" w:cs="Times New Roman"/>
          <w:b/>
          <w:bCs/>
          <w:color w:val="000000"/>
          <w:kern w:val="0"/>
          <w:sz w:val="28"/>
          <w:szCs w:val="28"/>
        </w:rPr>
      </w:pPr>
      <w:bookmarkStart w:id="0" w:name="_GoBack"/>
      <w:r>
        <w:rPr>
          <w:rFonts w:hint="eastAsia" w:ascii="Times New Roman" w:hAnsi="Times New Roman" w:cs="Times New Roman"/>
          <w:b/>
          <w:color w:val="000000"/>
          <w:kern w:val="0"/>
          <w:sz w:val="28"/>
          <w:szCs w:val="28"/>
        </w:rPr>
        <w:t>PTA</w:t>
      </w:r>
      <w:r>
        <w:rPr>
          <w:rFonts w:ascii="Times New Roman" w:hAnsi="Times New Roman" w:cs="Times New Roman"/>
          <w:b/>
          <w:color w:val="000000"/>
          <w:kern w:val="0"/>
          <w:sz w:val="28"/>
          <w:szCs w:val="28"/>
        </w:rPr>
        <w:t xml:space="preserve"> </w:t>
      </w:r>
      <w:r>
        <w:rPr>
          <w:rFonts w:ascii="Times New Roman" w:hAnsi="Times New Roman" w:eastAsia="等线" w:cs="Times New Roman"/>
          <w:b/>
          <w:color w:val="000000"/>
          <w:kern w:val="0"/>
          <w:sz w:val="28"/>
          <w:szCs w:val="28"/>
        </w:rPr>
        <w:t xml:space="preserve">Option Contract </w:t>
      </w:r>
      <w:r>
        <w:rPr>
          <w:rFonts w:ascii="Times New Roman" w:hAnsi="Times New Roman" w:cs="Times New Roman"/>
          <w:b/>
          <w:bCs/>
          <w:color w:val="000000"/>
          <w:kern w:val="0"/>
          <w:sz w:val="28"/>
          <w:szCs w:val="28"/>
          <w:lang w:bidi="ar"/>
        </w:rPr>
        <w:t>Specs</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76"/>
        <w:gridCol w:w="5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Underlying</w:t>
            </w:r>
          </w:p>
        </w:tc>
        <w:tc>
          <w:tcPr>
            <w:tcW w:w="594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 xml:space="preserve">Purified Terephthalic Acid </w:t>
            </w:r>
            <w:r>
              <w:rPr>
                <w:rFonts w:hint="eastAsia" w:ascii="Times New Roman" w:hAnsi="Times New Roman" w:eastAsia="等线" w:cs="Times New Roman"/>
                <w:sz w:val="22"/>
              </w:rPr>
              <w:t xml:space="preserve">(PTA) </w:t>
            </w:r>
            <w:r>
              <w:rPr>
                <w:rFonts w:ascii="Times New Roman" w:hAnsi="Times New Roman" w:eastAsia="等线" w:cs="Times New Roman"/>
                <w:sz w:val="22"/>
              </w:rPr>
              <w:t xml:space="preserve">Futures </w:t>
            </w:r>
            <w:r>
              <w:rPr>
                <w:rFonts w:hint="eastAsia" w:ascii="Times New Roman" w:hAnsi="Times New Roman" w:eastAsia="等线" w:cs="Times New Roman"/>
                <w:sz w:val="22"/>
              </w:rPr>
              <w:t xml:space="preserve">(TA) </w:t>
            </w:r>
            <w:r>
              <w:rPr>
                <w:rFonts w:ascii="Times New Roman" w:hAnsi="Times New Roman" w:eastAsia="等线" w:cs="Times New Roman"/>
                <w:sz w:val="22"/>
              </w:rPr>
              <w:t>Contract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Contract Type</w:t>
            </w:r>
          </w:p>
        </w:tc>
        <w:tc>
          <w:tcPr>
            <w:tcW w:w="594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Call options; put options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Trading Unit</w:t>
            </w:r>
          </w:p>
        </w:tc>
        <w:tc>
          <w:tcPr>
            <w:tcW w:w="594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 xml:space="preserve">1 </w:t>
            </w:r>
            <w:r>
              <w:rPr>
                <w:rFonts w:hint="eastAsia" w:ascii="Times New Roman" w:hAnsi="Times New Roman" w:eastAsia="等线" w:cs="Times New Roman"/>
                <w:sz w:val="22"/>
              </w:rPr>
              <w:t>TA</w:t>
            </w:r>
            <w:r>
              <w:rPr>
                <w:rFonts w:ascii="Times New Roman" w:hAnsi="Times New Roman" w:eastAsia="等线" w:cs="Times New Roman"/>
                <w:sz w:val="22"/>
              </w:rPr>
              <w:t xml:space="preserve"> contract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Price Quotation</w:t>
            </w:r>
          </w:p>
        </w:tc>
        <w:tc>
          <w:tcPr>
            <w:tcW w:w="594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Chinese yuan (RMB) per 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Minimum Price Fluctuation</w:t>
            </w:r>
          </w:p>
        </w:tc>
        <w:tc>
          <w:tcPr>
            <w:tcW w:w="594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RMB 0.5 yuan/metric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Price Limit</w:t>
            </w:r>
          </w:p>
        </w:tc>
        <w:tc>
          <w:tcPr>
            <w:tcW w:w="594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 xml:space="preserve">Same as the price limit for </w:t>
            </w:r>
            <w:r>
              <w:rPr>
                <w:rFonts w:hint="eastAsia" w:ascii="Times New Roman" w:hAnsi="Times New Roman" w:eastAsia="等线" w:cs="Times New Roman"/>
                <w:sz w:val="22"/>
              </w:rPr>
              <w:t>TA</w:t>
            </w:r>
            <w:r>
              <w:rPr>
                <w:rFonts w:ascii="Times New Roman" w:hAnsi="Times New Roman" w:eastAsia="等线" w:cs="Times New Roman"/>
                <w:sz w:val="22"/>
              </w:rPr>
              <w:t xml:space="preserve"> contracts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Contract Months</w:t>
            </w:r>
          </w:p>
        </w:tc>
        <w:tc>
          <w:tcPr>
            <w:tcW w:w="594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highlight w:val="yellow"/>
              </w:rPr>
            </w:pPr>
            <w:r>
              <w:rPr>
                <w:rFonts w:ascii="Times New Roman" w:hAnsi="Times New Roman" w:eastAsia="等线" w:cs="Times New Roman"/>
                <w:sz w:val="22"/>
              </w:rPr>
              <w:t>The two consecutive nearby months of the underlying futures contract; contracts of subsequent months are listed on the trading day following the day when (single-counted) post-clearing open interest of the relevant underlying futures contract exceeds 10,000 lots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Trading Hours</w:t>
            </w:r>
          </w:p>
        </w:tc>
        <w:tc>
          <w:tcPr>
            <w:tcW w:w="594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9:00-11:30 and 1</w:t>
            </w:r>
            <w:r>
              <w:rPr>
                <w:rFonts w:hint="eastAsia" w:ascii="Times New Roman" w:hAnsi="Times New Roman" w:eastAsia="等线" w:cs="Times New Roman"/>
                <w:sz w:val="22"/>
              </w:rPr>
              <w:t>3</w:t>
            </w:r>
            <w:r>
              <w:rPr>
                <w:rFonts w:ascii="Times New Roman" w:hAnsi="Times New Roman" w:eastAsia="等线" w:cs="Times New Roman"/>
                <w:sz w:val="22"/>
              </w:rPr>
              <w:t>:30-</w:t>
            </w:r>
            <w:r>
              <w:rPr>
                <w:rFonts w:hint="eastAsia" w:ascii="Times New Roman" w:hAnsi="Times New Roman" w:eastAsia="等线" w:cs="Times New Roman"/>
                <w:sz w:val="22"/>
              </w:rPr>
              <w:t>15</w:t>
            </w:r>
            <w:r>
              <w:rPr>
                <w:rFonts w:ascii="Times New Roman" w:hAnsi="Times New Roman" w:eastAsia="等线" w:cs="Times New Roman"/>
                <w:sz w:val="22"/>
              </w:rPr>
              <w:t>:00 (Beijing time) and other trading hours prescribed by Zhengzhou Commodity Exchange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Last Trading Day</w:t>
            </w:r>
          </w:p>
        </w:tc>
        <w:tc>
          <w:tcPr>
            <w:tcW w:w="594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Third-to-last trading day as counting backward from the 15th calendar day (inclusive) of the month prior to the delivery month of the underlying futures contract, or another date prescribed by Zhengzhou Commodity Exchange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Expiration Day</w:t>
            </w:r>
          </w:p>
        </w:tc>
        <w:tc>
          <w:tcPr>
            <w:tcW w:w="594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Same as the Last Trading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Strike Price</w:t>
            </w:r>
          </w:p>
        </w:tc>
        <w:tc>
          <w:tcPr>
            <w:tcW w:w="594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The range of strike price (SP) is the preceding trading day’s settlement price of the underlying futures contract plus or minus 1.5 times the current day’s price limit</w:t>
            </w:r>
          </w:p>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The strike price interval is:</w:t>
            </w:r>
          </w:p>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50 yuan/metric ton if SP ≤ 5,000 yuan/metric ton;</w:t>
            </w:r>
          </w:p>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100 yuan/metric ton if 5,000 yuan/metric ton &lt; SP ≤ 10,000 yuan/metric ton;</w:t>
            </w:r>
          </w:p>
          <w:p>
            <w:pPr>
              <w:widowControl/>
              <w:snapToGrid w:val="0"/>
              <w:spacing w:before="60" w:after="60"/>
              <w:rPr>
                <w:rFonts w:ascii="Times New Roman" w:hAnsi="Times New Roman" w:eastAsia="等线" w:cs="Times New Roman"/>
                <w:sz w:val="22"/>
                <w:highlight w:val="yellow"/>
              </w:rPr>
            </w:pPr>
            <w:r>
              <w:rPr>
                <w:rFonts w:ascii="Times New Roman" w:hAnsi="Times New Roman" w:eastAsia="等线" w:cs="Times New Roman"/>
                <w:sz w:val="22"/>
              </w:rPr>
              <w:t>200 yuan/metric ton if SP &gt; 10,000 yuan/metric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Exercise Style</w:t>
            </w:r>
          </w:p>
        </w:tc>
        <w:tc>
          <w:tcPr>
            <w:tcW w:w="594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American. The buyer can submit an exercise request during trading hours on any trading day before the expiration day, and an exercise or abandonment request before 3:30 p.m. on the expiration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Product Code</w:t>
            </w:r>
          </w:p>
        </w:tc>
        <w:tc>
          <w:tcPr>
            <w:tcW w:w="594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 xml:space="preserve">Calls: </w:t>
            </w:r>
            <w:r>
              <w:rPr>
                <w:rFonts w:hint="eastAsia" w:ascii="Times New Roman" w:hAnsi="Times New Roman" w:eastAsia="等线" w:cs="Times New Roman"/>
                <w:sz w:val="22"/>
              </w:rPr>
              <w:t>TA</w:t>
            </w:r>
            <w:r>
              <w:rPr>
                <w:rFonts w:ascii="Times New Roman" w:hAnsi="Times New Roman" w:eastAsia="等线" w:cs="Times New Roman"/>
                <w:sz w:val="22"/>
              </w:rPr>
              <w:t>-contract month-C-strike price</w:t>
            </w:r>
          </w:p>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 xml:space="preserve">Puts: </w:t>
            </w:r>
            <w:r>
              <w:rPr>
                <w:rFonts w:hint="eastAsia" w:ascii="Times New Roman" w:hAnsi="Times New Roman" w:eastAsia="等线" w:cs="Times New Roman"/>
                <w:sz w:val="22"/>
              </w:rPr>
              <w:t>TA</w:t>
            </w:r>
            <w:r>
              <w:rPr>
                <w:rFonts w:ascii="Times New Roman" w:hAnsi="Times New Roman" w:eastAsia="等线" w:cs="Times New Roman"/>
                <w:sz w:val="22"/>
              </w:rPr>
              <w:t>-contract month-P-strike price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Listing Exchange</w:t>
            </w:r>
          </w:p>
        </w:tc>
        <w:tc>
          <w:tcPr>
            <w:tcW w:w="594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Zhengzhou Commodity Exchange</w:t>
            </w:r>
          </w:p>
        </w:tc>
      </w:tr>
    </w:tbl>
    <w:p/>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等线">
    <w:altName w:val="宋体"/>
    <w:panose1 w:val="02010600030101010101"/>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8ED"/>
    <w:rsid w:val="000D0582"/>
    <w:rsid w:val="004E231C"/>
    <w:rsid w:val="005148ED"/>
    <w:rsid w:val="005961F0"/>
    <w:rsid w:val="005C4AE4"/>
    <w:rsid w:val="006B0FB4"/>
    <w:rsid w:val="00766564"/>
    <w:rsid w:val="00897EDE"/>
    <w:rsid w:val="00A03AAF"/>
    <w:rsid w:val="00AD27B9"/>
    <w:rsid w:val="00B743DB"/>
    <w:rsid w:val="00C02BBD"/>
    <w:rsid w:val="00C14EAD"/>
    <w:rsid w:val="00D11A12"/>
    <w:rsid w:val="00F32B9F"/>
    <w:rsid w:val="00F97DC7"/>
    <w:rsid w:val="00FE35DF"/>
    <w:rsid w:val="3B7714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5"/>
    <w:semiHidden/>
    <w:unhideWhenUsed/>
    <w:qFormat/>
    <w:uiPriority w:val="99"/>
    <w:rPr>
      <w:sz w:val="18"/>
      <w:szCs w:val="18"/>
    </w:rPr>
  </w:style>
  <w:style w:type="character" w:customStyle="1" w:styleId="5">
    <w:name w:val="批注框文本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270</Words>
  <Characters>1543</Characters>
  <Lines>12</Lines>
  <Paragraphs>3</Paragraphs>
  <TotalTime>9</TotalTime>
  <ScaleCrop>false</ScaleCrop>
  <LinksUpToDate>false</LinksUpToDate>
  <CharactersWithSpaces>1810</CharactersWithSpaces>
  <Application>WPS Office_11.8.2.11810_F1E327BC-269C-435d-A152-05C5408002CA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2024-01-28T22:23:00Z</dcterms:created>
  <dc:creator>李柯颖</dc:creator>
  <cp:lastModifiedBy>管玉箫</cp:lastModifiedBy>
  <dcterms:modified xsi:type="dcterms:W3CDTF">2024-02-01T10:01:05Z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2052-11.8.2.11810</vt:lpwstr>
  </property>
  <property fmtid="{D5CDD505-2E9C-101B-9397-08002B2CF9AE}" pid="3" name="ICV">
    <vt:lpwstr>50995160BE9CC4E861FBBA65E923C66E</vt:lpwstr>
  </property>
</Properties>
</file>