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C1" w:rsidRPr="00C67119" w:rsidRDefault="00A441C1" w:rsidP="00A441C1">
      <w:pPr>
        <w:snapToGrid w:val="0"/>
        <w:spacing w:afterLines="100" w:line="276" w:lineRule="auto"/>
        <w:rPr>
          <w:b/>
          <w:bCs/>
          <w:sz w:val="28"/>
          <w:szCs w:val="22"/>
        </w:rPr>
      </w:pPr>
      <w:r w:rsidRPr="00C67119">
        <w:rPr>
          <w:b/>
          <w:bCs/>
          <w:sz w:val="28"/>
          <w:szCs w:val="22"/>
        </w:rPr>
        <w:t>Appendix</w:t>
      </w:r>
    </w:p>
    <w:p w:rsidR="00A441C1" w:rsidRDefault="00A441C1" w:rsidP="00A441C1">
      <w:pPr>
        <w:snapToGrid w:val="0"/>
        <w:spacing w:afterLines="100" w:line="276" w:lineRule="auto"/>
        <w:jc w:val="center"/>
        <w:rPr>
          <w:b/>
          <w:bCs/>
          <w:sz w:val="36"/>
          <w:szCs w:val="28"/>
        </w:rPr>
      </w:pPr>
      <w:r w:rsidRPr="00C67119">
        <w:rPr>
          <w:b/>
          <w:bCs/>
          <w:sz w:val="36"/>
          <w:szCs w:val="28"/>
        </w:rPr>
        <w:t xml:space="preserve">Guideline for </w:t>
      </w:r>
      <w:r>
        <w:rPr>
          <w:rFonts w:hint="eastAsia"/>
          <w:b/>
          <w:bCs/>
          <w:sz w:val="36"/>
          <w:szCs w:val="28"/>
        </w:rPr>
        <w:t>Foreign Exchange Conversion</w:t>
      </w:r>
      <w:r w:rsidRPr="00C67119">
        <w:rPr>
          <w:b/>
          <w:bCs/>
          <w:sz w:val="36"/>
          <w:szCs w:val="28"/>
        </w:rPr>
        <w:t xml:space="preserve"> by Members</w:t>
      </w:r>
    </w:p>
    <w:p w:rsidR="00A441C1" w:rsidRDefault="00A441C1" w:rsidP="00A441C1">
      <w:pPr>
        <w:snapToGrid w:val="0"/>
        <w:spacing w:afterLines="100" w:line="276" w:lineRule="auto"/>
        <w:rPr>
          <w:sz w:val="28"/>
          <w:szCs w:val="22"/>
        </w:rPr>
      </w:pPr>
      <w:r w:rsidRPr="00C67119">
        <w:rPr>
          <w:sz w:val="28"/>
          <w:szCs w:val="22"/>
        </w:rPr>
        <w:t xml:space="preserve">This </w:t>
      </w:r>
      <w:r w:rsidRPr="00C67119">
        <w:rPr>
          <w:i/>
          <w:iCs/>
          <w:sz w:val="28"/>
          <w:szCs w:val="22"/>
        </w:rPr>
        <w:t>Guideline</w:t>
      </w:r>
      <w:r>
        <w:rPr>
          <w:rFonts w:hint="eastAsia"/>
          <w:i/>
          <w:iCs/>
          <w:sz w:val="28"/>
          <w:szCs w:val="22"/>
        </w:rPr>
        <w:t xml:space="preserve"> </w:t>
      </w:r>
      <w:r w:rsidRPr="00C67119">
        <w:rPr>
          <w:iCs/>
          <w:sz w:val="28"/>
          <w:szCs w:val="22"/>
        </w:rPr>
        <w:t xml:space="preserve">is </w:t>
      </w:r>
      <w:r w:rsidRPr="00C67119">
        <w:rPr>
          <w:sz w:val="28"/>
          <w:szCs w:val="22"/>
        </w:rPr>
        <w:t xml:space="preserve">formulated in accordance with the </w:t>
      </w:r>
      <w:r w:rsidRPr="00C67119">
        <w:rPr>
          <w:i/>
          <w:sz w:val="28"/>
          <w:szCs w:val="22"/>
        </w:rPr>
        <w:t xml:space="preserve">Circular of the State Administration of Foreign Exchange on Foreign Exchange Administration for Overseas Traders and Brokers Engaging </w:t>
      </w:r>
      <w:bookmarkStart w:id="0" w:name="_Hlk59799464"/>
      <w:r w:rsidRPr="00C67119">
        <w:rPr>
          <w:i/>
          <w:sz w:val="28"/>
          <w:szCs w:val="22"/>
        </w:rPr>
        <w:t>in Futures Trading under Specific Domestic Categories</w:t>
      </w:r>
      <w:bookmarkEnd w:id="0"/>
      <w:r w:rsidRPr="00C67119">
        <w:rPr>
          <w:rFonts w:hint="eastAsia"/>
          <w:i/>
          <w:sz w:val="28"/>
          <w:szCs w:val="22"/>
        </w:rPr>
        <w:t xml:space="preserve"> </w:t>
      </w:r>
      <w:r w:rsidRPr="00C67119">
        <w:rPr>
          <w:sz w:val="28"/>
          <w:szCs w:val="22"/>
        </w:rPr>
        <w:t>(Huifa</w:t>
      </w:r>
      <w:r>
        <w:rPr>
          <w:rFonts w:hint="eastAsia"/>
          <w:sz w:val="28"/>
          <w:szCs w:val="22"/>
        </w:rPr>
        <w:t xml:space="preserve"> </w:t>
      </w:r>
      <w:r w:rsidRPr="00C67119">
        <w:rPr>
          <w:sz w:val="28"/>
          <w:szCs w:val="22"/>
        </w:rPr>
        <w:t>[2015] No. 35) and the related policy FAQs, the market rules of Zhengzhou Commodity Exchange (the “Exchange” or “ZCE”), and other relevant rules.</w:t>
      </w:r>
    </w:p>
    <w:p w:rsidR="00A441C1" w:rsidRDefault="00A441C1" w:rsidP="00A441C1">
      <w:pPr>
        <w:snapToGrid w:val="0"/>
        <w:spacing w:afterLines="100" w:line="276" w:lineRule="auto"/>
        <w:rPr>
          <w:sz w:val="28"/>
          <w:szCs w:val="22"/>
        </w:rPr>
      </w:pPr>
      <w:r w:rsidRPr="00C67119">
        <w:rPr>
          <w:sz w:val="28"/>
          <w:szCs w:val="22"/>
        </w:rPr>
        <w:t>Pursuant to Article VII of</w:t>
      </w:r>
      <w:r w:rsidRPr="00C67119">
        <w:rPr>
          <w:rFonts w:hint="eastAsia"/>
          <w:sz w:val="28"/>
          <w:szCs w:val="22"/>
        </w:rPr>
        <w:t xml:space="preserve"> </w:t>
      </w:r>
      <w:r w:rsidRPr="00C67119">
        <w:rPr>
          <w:sz w:val="28"/>
          <w:szCs w:val="22"/>
        </w:rPr>
        <w:t>Huifa</w:t>
      </w:r>
      <w:r>
        <w:rPr>
          <w:rFonts w:hint="eastAsia"/>
          <w:sz w:val="28"/>
          <w:szCs w:val="22"/>
        </w:rPr>
        <w:t xml:space="preserve"> </w:t>
      </w:r>
      <w:r w:rsidRPr="00C67119">
        <w:rPr>
          <w:sz w:val="28"/>
          <w:szCs w:val="22"/>
        </w:rPr>
        <w:t xml:space="preserve">[2015] No. 35, the </w:t>
      </w:r>
      <w:r>
        <w:rPr>
          <w:rFonts w:hint="eastAsia"/>
          <w:sz w:val="28"/>
          <w:szCs w:val="22"/>
        </w:rPr>
        <w:t xml:space="preserve">foreign exchange (FX) </w:t>
      </w:r>
      <w:r>
        <w:rPr>
          <w:sz w:val="28"/>
          <w:szCs w:val="22"/>
        </w:rPr>
        <w:t>settlement and purchase</w:t>
      </w:r>
      <w:r w:rsidRPr="00C67119">
        <w:rPr>
          <w:sz w:val="28"/>
          <w:szCs w:val="22"/>
        </w:rPr>
        <w:t xml:space="preserve"> is only permitted for settling profit or loss from futures trading, paying </w:t>
      </w:r>
      <w:r>
        <w:rPr>
          <w:rFonts w:hint="eastAsia"/>
          <w:sz w:val="28"/>
          <w:szCs w:val="22"/>
        </w:rPr>
        <w:t xml:space="preserve">service </w:t>
      </w:r>
      <w:r w:rsidRPr="00C67119">
        <w:rPr>
          <w:sz w:val="28"/>
          <w:szCs w:val="22"/>
        </w:rPr>
        <w:t>fees, settling delivery payments, addressing</w:t>
      </w:r>
      <w:r w:rsidRPr="00C67119">
        <w:rPr>
          <w:rFonts w:hint="eastAsia"/>
          <w:sz w:val="28"/>
          <w:szCs w:val="22"/>
        </w:rPr>
        <w:t xml:space="preserve"> </w:t>
      </w:r>
      <w:r w:rsidRPr="00C67119">
        <w:rPr>
          <w:sz w:val="28"/>
          <w:szCs w:val="22"/>
        </w:rPr>
        <w:t>any funding shortfall in the settlement currency, and settling other amounts related to the trading of specified domestic futures products (“SDFPs”).</w:t>
      </w:r>
    </w:p>
    <w:p w:rsidR="00A441C1" w:rsidRDefault="00A441C1" w:rsidP="00A441C1">
      <w:pPr>
        <w:tabs>
          <w:tab w:val="left" w:pos="426"/>
        </w:tabs>
        <w:snapToGrid w:val="0"/>
        <w:spacing w:afterLines="100" w:line="276" w:lineRule="auto"/>
        <w:rPr>
          <w:sz w:val="28"/>
          <w:szCs w:val="22"/>
        </w:rPr>
      </w:pPr>
      <w:r w:rsidRPr="00C67119">
        <w:rPr>
          <w:b/>
          <w:sz w:val="28"/>
          <w:szCs w:val="22"/>
        </w:rPr>
        <w:t>I.</w:t>
      </w:r>
      <w:r w:rsidRPr="00C67119">
        <w:rPr>
          <w:b/>
          <w:sz w:val="28"/>
          <w:szCs w:val="22"/>
        </w:rPr>
        <w:tab/>
        <w:t>Terminologies</w:t>
      </w:r>
    </w:p>
    <w:p w:rsidR="00A441C1" w:rsidRDefault="00A441C1" w:rsidP="00A441C1">
      <w:pPr>
        <w:pStyle w:val="a6"/>
        <w:snapToGrid w:val="0"/>
        <w:spacing w:afterLines="100" w:line="276" w:lineRule="auto"/>
        <w:ind w:left="0"/>
        <w:rPr>
          <w:sz w:val="28"/>
          <w:szCs w:val="22"/>
        </w:rPr>
      </w:pPr>
      <w:r w:rsidRPr="00C67119">
        <w:rPr>
          <w:sz w:val="28"/>
          <w:szCs w:val="22"/>
        </w:rPr>
        <w:t>1.</w:t>
      </w:r>
      <w:r w:rsidRPr="00C67119">
        <w:rPr>
          <w:sz w:val="28"/>
          <w:szCs w:val="22"/>
        </w:rPr>
        <w:tab/>
      </w:r>
      <w:r>
        <w:rPr>
          <w:rFonts w:hint="eastAsia"/>
          <w:sz w:val="28"/>
          <w:szCs w:val="22"/>
        </w:rPr>
        <w:t>Eligible amount for conversion</w:t>
      </w:r>
      <w:r w:rsidRPr="00C67119">
        <w:rPr>
          <w:sz w:val="28"/>
          <w:szCs w:val="22"/>
        </w:rPr>
        <w:t>: The amount that is designated to be converted. It is automatically calculated by member-side systems for each overseas client and overseas broker based on the trading results of SDFPs. It is displayed in the settlement currency.</w:t>
      </w:r>
    </w:p>
    <w:p w:rsidR="00A441C1" w:rsidRDefault="00A441C1" w:rsidP="00A441C1">
      <w:pPr>
        <w:pStyle w:val="a6"/>
        <w:snapToGrid w:val="0"/>
        <w:spacing w:afterLines="100" w:line="276" w:lineRule="auto"/>
        <w:ind w:left="0"/>
        <w:rPr>
          <w:sz w:val="28"/>
          <w:szCs w:val="22"/>
        </w:rPr>
      </w:pPr>
      <w:r w:rsidRPr="00C67119">
        <w:rPr>
          <w:sz w:val="28"/>
          <w:szCs w:val="22"/>
        </w:rPr>
        <w:t>2.</w:t>
      </w:r>
      <w:r w:rsidRPr="00C67119">
        <w:rPr>
          <w:sz w:val="28"/>
          <w:szCs w:val="22"/>
        </w:rPr>
        <w:tab/>
        <w:t>Current day’s net profit</w:t>
      </w:r>
      <w:r>
        <w:rPr>
          <w:rFonts w:hint="eastAsia"/>
          <w:sz w:val="28"/>
          <w:szCs w:val="22"/>
        </w:rPr>
        <w:t xml:space="preserve"> </w:t>
      </w:r>
      <w:r w:rsidRPr="00C67119">
        <w:rPr>
          <w:rFonts w:hint="eastAsia"/>
          <w:sz w:val="28"/>
          <w:szCs w:val="22"/>
        </w:rPr>
        <w:t>or</w:t>
      </w:r>
      <w:r>
        <w:rPr>
          <w:rFonts w:hint="eastAsia"/>
          <w:sz w:val="28"/>
          <w:szCs w:val="22"/>
        </w:rPr>
        <w:t xml:space="preserve"> </w:t>
      </w:r>
      <w:r w:rsidRPr="00C67119">
        <w:rPr>
          <w:sz w:val="28"/>
          <w:szCs w:val="22"/>
        </w:rPr>
        <w:t>loss on</w:t>
      </w:r>
      <w:r>
        <w:rPr>
          <w:rFonts w:hint="eastAsia"/>
          <w:sz w:val="28"/>
          <w:szCs w:val="22"/>
        </w:rPr>
        <w:t xml:space="preserve"> </w:t>
      </w:r>
      <w:r w:rsidRPr="00C67119">
        <w:rPr>
          <w:sz w:val="28"/>
          <w:szCs w:val="22"/>
        </w:rPr>
        <w:t>SDFPs = current day’s profit</w:t>
      </w:r>
      <w:r>
        <w:rPr>
          <w:rFonts w:hint="eastAsia"/>
          <w:sz w:val="28"/>
          <w:szCs w:val="22"/>
        </w:rPr>
        <w:t xml:space="preserve"> </w:t>
      </w:r>
      <w:r w:rsidRPr="00C67119">
        <w:rPr>
          <w:rFonts w:hint="eastAsia"/>
          <w:sz w:val="28"/>
          <w:szCs w:val="22"/>
        </w:rPr>
        <w:t>or</w:t>
      </w:r>
      <w:r>
        <w:rPr>
          <w:rFonts w:hint="eastAsia"/>
          <w:sz w:val="28"/>
          <w:szCs w:val="22"/>
        </w:rPr>
        <w:t xml:space="preserve"> </w:t>
      </w:r>
      <w:r w:rsidRPr="00C67119">
        <w:rPr>
          <w:sz w:val="28"/>
          <w:szCs w:val="22"/>
        </w:rPr>
        <w:t>loss</w:t>
      </w:r>
      <w:r>
        <w:rPr>
          <w:rFonts w:hint="eastAsia"/>
          <w:sz w:val="28"/>
          <w:szCs w:val="22"/>
        </w:rPr>
        <w:t xml:space="preserve"> </w:t>
      </w:r>
      <w:r w:rsidRPr="00C67119">
        <w:rPr>
          <w:sz w:val="28"/>
          <w:szCs w:val="22"/>
        </w:rPr>
        <w:t>on</w:t>
      </w:r>
      <w:r>
        <w:rPr>
          <w:rFonts w:hint="eastAsia"/>
          <w:sz w:val="28"/>
          <w:szCs w:val="22"/>
        </w:rPr>
        <w:t xml:space="preserve"> </w:t>
      </w:r>
      <w:r w:rsidRPr="00C67119">
        <w:rPr>
          <w:sz w:val="28"/>
          <w:szCs w:val="22"/>
        </w:rPr>
        <w:t>SDFPs</w:t>
      </w:r>
      <w:r w:rsidRPr="00C67119">
        <w:rPr>
          <w:rStyle w:val="a8"/>
          <w:sz w:val="28"/>
          <w:szCs w:val="22"/>
        </w:rPr>
        <w:footnoteReference w:id="2"/>
      </w:r>
      <w:r w:rsidRPr="00C67119">
        <w:rPr>
          <w:sz w:val="28"/>
          <w:szCs w:val="22"/>
        </w:rPr>
        <w:t>–current day’s transaction fees for SDFPs</w:t>
      </w:r>
      <w:r w:rsidRPr="00C67119">
        <w:rPr>
          <w:rStyle w:val="a8"/>
          <w:sz w:val="28"/>
          <w:szCs w:val="22"/>
        </w:rPr>
        <w:footnoteReference w:id="3"/>
      </w:r>
      <w:r w:rsidRPr="00C67119">
        <w:rPr>
          <w:sz w:val="28"/>
          <w:szCs w:val="22"/>
        </w:rPr>
        <w:t xml:space="preserve"> + current day’s premium income on SDFPs.</w:t>
      </w:r>
    </w:p>
    <w:p w:rsidR="00A441C1" w:rsidRDefault="00A441C1" w:rsidP="00A441C1">
      <w:pPr>
        <w:pStyle w:val="a6"/>
        <w:snapToGrid w:val="0"/>
        <w:spacing w:afterLines="100" w:line="276" w:lineRule="auto"/>
        <w:ind w:left="0"/>
        <w:rPr>
          <w:sz w:val="28"/>
          <w:szCs w:val="22"/>
        </w:rPr>
      </w:pPr>
      <w:r w:rsidRPr="00C67119">
        <w:rPr>
          <w:sz w:val="28"/>
          <w:szCs w:val="22"/>
        </w:rPr>
        <w:t>3.</w:t>
      </w:r>
      <w:r w:rsidRPr="00C67119">
        <w:rPr>
          <w:sz w:val="28"/>
          <w:szCs w:val="22"/>
        </w:rPr>
        <w:tab/>
        <w:t>Current day’s cumulative net profit or loss on SDFPs = preceding trading</w:t>
      </w:r>
      <w:r>
        <w:rPr>
          <w:rFonts w:hint="eastAsia"/>
          <w:sz w:val="28"/>
          <w:szCs w:val="22"/>
        </w:rPr>
        <w:t xml:space="preserve"> </w:t>
      </w:r>
      <w:r w:rsidRPr="00C67119">
        <w:rPr>
          <w:sz w:val="28"/>
          <w:szCs w:val="22"/>
        </w:rPr>
        <w:t>day’s cumulative net profit or loss on SDFPs + current</w:t>
      </w:r>
      <w:r>
        <w:rPr>
          <w:rFonts w:hint="eastAsia"/>
          <w:sz w:val="28"/>
          <w:szCs w:val="22"/>
        </w:rPr>
        <w:t xml:space="preserve"> </w:t>
      </w:r>
      <w:r w:rsidRPr="00C67119">
        <w:rPr>
          <w:sz w:val="28"/>
          <w:szCs w:val="22"/>
        </w:rPr>
        <w:t>day’s net profit or loss on SDFPs – current</w:t>
      </w:r>
      <w:r>
        <w:rPr>
          <w:rFonts w:hint="eastAsia"/>
          <w:sz w:val="28"/>
          <w:szCs w:val="22"/>
        </w:rPr>
        <w:t xml:space="preserve"> </w:t>
      </w:r>
      <w:r w:rsidRPr="00C67119">
        <w:rPr>
          <w:sz w:val="28"/>
          <w:szCs w:val="22"/>
        </w:rPr>
        <w:t>day’s other expenditures for SDFPs</w:t>
      </w:r>
      <w:r w:rsidRPr="00C67119">
        <w:rPr>
          <w:rStyle w:val="a8"/>
          <w:sz w:val="24"/>
        </w:rPr>
        <w:footnoteReference w:id="4"/>
      </w:r>
      <w:r w:rsidRPr="00C67119">
        <w:rPr>
          <w:sz w:val="28"/>
          <w:szCs w:val="22"/>
        </w:rPr>
        <w:t xml:space="preserve"> –</w:t>
      </w:r>
      <w:bookmarkStart w:id="1" w:name="OLE_LINK5"/>
      <w:r w:rsidRPr="00C67119">
        <w:rPr>
          <w:sz w:val="28"/>
          <w:szCs w:val="22"/>
        </w:rPr>
        <w:t>current</w:t>
      </w:r>
      <w:r>
        <w:rPr>
          <w:rFonts w:hint="eastAsia"/>
          <w:sz w:val="28"/>
          <w:szCs w:val="22"/>
        </w:rPr>
        <w:t xml:space="preserve"> </w:t>
      </w:r>
      <w:r w:rsidRPr="00C67119">
        <w:rPr>
          <w:sz w:val="28"/>
          <w:szCs w:val="22"/>
        </w:rPr>
        <w:t xml:space="preserve">day’s </w:t>
      </w:r>
      <w:r>
        <w:rPr>
          <w:rFonts w:hint="eastAsia"/>
          <w:sz w:val="28"/>
          <w:szCs w:val="22"/>
        </w:rPr>
        <w:t>FX</w:t>
      </w:r>
      <w:r w:rsidRPr="00C67119">
        <w:rPr>
          <w:sz w:val="28"/>
          <w:szCs w:val="22"/>
        </w:rPr>
        <w:t xml:space="preserve"> purchase</w:t>
      </w:r>
      <w:r>
        <w:rPr>
          <w:rFonts w:hint="eastAsia"/>
          <w:sz w:val="28"/>
          <w:szCs w:val="22"/>
        </w:rPr>
        <w:t>d</w:t>
      </w:r>
      <w:r w:rsidRPr="00C67119">
        <w:rPr>
          <w:sz w:val="28"/>
          <w:szCs w:val="22"/>
        </w:rPr>
        <w:t xml:space="preserve"> amount</w:t>
      </w:r>
      <w:bookmarkEnd w:id="1"/>
      <w:r w:rsidRPr="00C67119">
        <w:rPr>
          <w:sz w:val="28"/>
          <w:szCs w:val="22"/>
        </w:rPr>
        <w:t>.</w:t>
      </w:r>
    </w:p>
    <w:p w:rsidR="00A441C1" w:rsidRDefault="00A441C1" w:rsidP="00A441C1">
      <w:pPr>
        <w:pStyle w:val="a6"/>
        <w:snapToGrid w:val="0"/>
        <w:spacing w:afterLines="100" w:line="276" w:lineRule="auto"/>
        <w:ind w:left="0"/>
        <w:rPr>
          <w:sz w:val="28"/>
          <w:szCs w:val="22"/>
        </w:rPr>
      </w:pPr>
      <w:r w:rsidRPr="00C67119">
        <w:rPr>
          <w:rFonts w:hint="eastAsia"/>
          <w:sz w:val="28"/>
          <w:szCs w:val="22"/>
        </w:rPr>
        <w:t>T</w:t>
      </w:r>
      <w:r w:rsidRPr="00C67119">
        <w:rPr>
          <w:sz w:val="28"/>
          <w:szCs w:val="22"/>
        </w:rPr>
        <w:t>he preceding trading day’s cumulative net profit or loss on SDFPs is</w:t>
      </w:r>
      <w:r>
        <w:rPr>
          <w:rFonts w:hint="eastAsia"/>
          <w:sz w:val="28"/>
          <w:szCs w:val="22"/>
        </w:rPr>
        <w:t xml:space="preserve"> </w:t>
      </w:r>
      <w:r w:rsidRPr="00C67119">
        <w:rPr>
          <w:sz w:val="28"/>
          <w:szCs w:val="22"/>
        </w:rPr>
        <w:lastRenderedPageBreak/>
        <w:t xml:space="preserve">taken to be zero if: (1) the preceding trading day is a </w:t>
      </w:r>
      <w:r w:rsidRPr="00161B60">
        <w:rPr>
          <w:sz w:val="28"/>
          <w:szCs w:val="22"/>
        </w:rPr>
        <w:t>cut-off date</w:t>
      </w:r>
      <w:r>
        <w:rPr>
          <w:rFonts w:hint="eastAsia"/>
          <w:sz w:val="28"/>
          <w:szCs w:val="22"/>
        </w:rPr>
        <w:t xml:space="preserve"> for FX conversion</w:t>
      </w:r>
      <w:r w:rsidRPr="00C67119">
        <w:rPr>
          <w:sz w:val="28"/>
          <w:szCs w:val="22"/>
        </w:rPr>
        <w:t>; (2) the cumulative net profit or loss on SDFPs is below zero</w:t>
      </w:r>
      <w:r>
        <w:rPr>
          <w:rFonts w:hint="eastAsia"/>
          <w:sz w:val="28"/>
          <w:szCs w:val="22"/>
        </w:rPr>
        <w:t xml:space="preserve"> </w:t>
      </w:r>
      <w:r w:rsidRPr="00C67119">
        <w:rPr>
          <w:sz w:val="28"/>
          <w:szCs w:val="22"/>
        </w:rPr>
        <w:t>(negative); or (3) the profit currency</w:t>
      </w:r>
      <w:r>
        <w:rPr>
          <w:rFonts w:hint="eastAsia"/>
          <w:sz w:val="28"/>
          <w:szCs w:val="22"/>
        </w:rPr>
        <w:t xml:space="preserve"> </w:t>
      </w:r>
      <w:r w:rsidRPr="00C67119">
        <w:rPr>
          <w:sz w:val="28"/>
          <w:szCs w:val="22"/>
        </w:rPr>
        <w:t>has been changed after the time of</w:t>
      </w:r>
      <w:r>
        <w:rPr>
          <w:rFonts w:hint="eastAsia"/>
          <w:sz w:val="28"/>
          <w:szCs w:val="22"/>
        </w:rPr>
        <w:t xml:space="preserve"> </w:t>
      </w:r>
      <w:r w:rsidRPr="00C67119">
        <w:rPr>
          <w:sz w:val="28"/>
          <w:szCs w:val="22"/>
        </w:rPr>
        <w:t>clearing</w:t>
      </w:r>
      <w:r>
        <w:rPr>
          <w:rFonts w:hint="eastAsia"/>
          <w:sz w:val="28"/>
          <w:szCs w:val="22"/>
        </w:rPr>
        <w:t xml:space="preserve"> </w:t>
      </w:r>
      <w:r w:rsidRPr="00C67119">
        <w:rPr>
          <w:sz w:val="28"/>
          <w:szCs w:val="22"/>
        </w:rPr>
        <w:t>on the preceding trading day.</w:t>
      </w:r>
    </w:p>
    <w:p w:rsidR="00A441C1" w:rsidRDefault="00A441C1" w:rsidP="00A441C1">
      <w:pPr>
        <w:pStyle w:val="a6"/>
        <w:snapToGrid w:val="0"/>
        <w:spacing w:afterLines="100" w:line="276" w:lineRule="auto"/>
        <w:ind w:left="0"/>
        <w:rPr>
          <w:sz w:val="28"/>
          <w:szCs w:val="22"/>
        </w:rPr>
      </w:pPr>
      <w:r w:rsidRPr="00C67119">
        <w:rPr>
          <w:rFonts w:hint="eastAsia"/>
          <w:sz w:val="28"/>
          <w:szCs w:val="22"/>
        </w:rPr>
        <w:t>T</w:t>
      </w:r>
      <w:r w:rsidRPr="00C67119">
        <w:rPr>
          <w:sz w:val="28"/>
          <w:szCs w:val="22"/>
        </w:rPr>
        <w:t xml:space="preserve">he current day’s </w:t>
      </w:r>
      <w:r>
        <w:rPr>
          <w:rFonts w:hint="eastAsia"/>
          <w:sz w:val="28"/>
          <w:szCs w:val="22"/>
        </w:rPr>
        <w:t>FX</w:t>
      </w:r>
      <w:r w:rsidRPr="00C67119">
        <w:rPr>
          <w:sz w:val="28"/>
          <w:szCs w:val="22"/>
        </w:rPr>
        <w:t xml:space="preserve"> purchase amount</w:t>
      </w:r>
      <w:r>
        <w:rPr>
          <w:rFonts w:hint="eastAsia"/>
          <w:sz w:val="28"/>
          <w:szCs w:val="22"/>
        </w:rPr>
        <w:t xml:space="preserve"> </w:t>
      </w:r>
      <w:r w:rsidRPr="00C67119">
        <w:rPr>
          <w:sz w:val="28"/>
          <w:szCs w:val="22"/>
        </w:rPr>
        <w:t xml:space="preserve">is the </w:t>
      </w:r>
      <w:r w:rsidRPr="00C67119">
        <w:rPr>
          <w:rFonts w:hint="eastAsia"/>
          <w:sz w:val="28"/>
          <w:szCs w:val="22"/>
        </w:rPr>
        <w:t>t</w:t>
      </w:r>
      <w:r w:rsidRPr="00C67119">
        <w:rPr>
          <w:sz w:val="28"/>
          <w:szCs w:val="22"/>
        </w:rPr>
        <w:t xml:space="preserve">otal amount of </w:t>
      </w:r>
      <w:r>
        <w:rPr>
          <w:rFonts w:hint="eastAsia"/>
          <w:sz w:val="28"/>
          <w:szCs w:val="22"/>
        </w:rPr>
        <w:t>FX</w:t>
      </w:r>
      <w:r w:rsidRPr="00C67119">
        <w:rPr>
          <w:sz w:val="28"/>
          <w:szCs w:val="22"/>
        </w:rPr>
        <w:t xml:space="preserve"> purchased by</w:t>
      </w:r>
      <w:r>
        <w:rPr>
          <w:rFonts w:hint="eastAsia"/>
          <w:sz w:val="28"/>
          <w:szCs w:val="22"/>
        </w:rPr>
        <w:t xml:space="preserve"> </w:t>
      </w:r>
      <w:r w:rsidRPr="00C67119">
        <w:rPr>
          <w:sz w:val="28"/>
          <w:szCs w:val="22"/>
        </w:rPr>
        <w:t>an</w:t>
      </w:r>
      <w:r>
        <w:rPr>
          <w:rFonts w:hint="eastAsia"/>
          <w:sz w:val="28"/>
          <w:szCs w:val="22"/>
        </w:rPr>
        <w:t xml:space="preserve"> </w:t>
      </w:r>
      <w:r w:rsidRPr="00C67119">
        <w:rPr>
          <w:sz w:val="28"/>
          <w:szCs w:val="22"/>
        </w:rPr>
        <w:t>overseas client or overseas broker</w:t>
      </w:r>
      <w:r>
        <w:rPr>
          <w:rFonts w:hint="eastAsia"/>
          <w:sz w:val="28"/>
          <w:szCs w:val="22"/>
        </w:rPr>
        <w:t xml:space="preserve"> </w:t>
      </w:r>
      <w:r w:rsidRPr="00C67119">
        <w:rPr>
          <w:sz w:val="28"/>
          <w:szCs w:val="22"/>
        </w:rPr>
        <w:t>during the period from the time of clearing on</w:t>
      </w:r>
      <w:r>
        <w:rPr>
          <w:rFonts w:hint="eastAsia"/>
          <w:sz w:val="28"/>
          <w:szCs w:val="22"/>
        </w:rPr>
        <w:t xml:space="preserve"> </w:t>
      </w:r>
      <w:r w:rsidRPr="00C67119">
        <w:rPr>
          <w:sz w:val="28"/>
          <w:szCs w:val="22"/>
        </w:rPr>
        <w:t>the preceding trading day to</w:t>
      </w:r>
      <w:r>
        <w:rPr>
          <w:rFonts w:hint="eastAsia"/>
          <w:sz w:val="28"/>
          <w:szCs w:val="22"/>
        </w:rPr>
        <w:t xml:space="preserve"> </w:t>
      </w:r>
      <w:r w:rsidRPr="00C67119">
        <w:rPr>
          <w:sz w:val="28"/>
          <w:szCs w:val="22"/>
        </w:rPr>
        <w:t>3:00</w:t>
      </w:r>
      <w:r>
        <w:rPr>
          <w:rFonts w:hint="eastAsia"/>
          <w:sz w:val="28"/>
          <w:szCs w:val="22"/>
        </w:rPr>
        <w:t xml:space="preserve"> </w:t>
      </w:r>
      <w:r w:rsidRPr="00C67119">
        <w:rPr>
          <w:sz w:val="28"/>
          <w:szCs w:val="22"/>
        </w:rPr>
        <w:t xml:space="preserve">p.m. on the current day. The current day’s </w:t>
      </w:r>
      <w:r>
        <w:rPr>
          <w:rFonts w:hint="eastAsia"/>
          <w:sz w:val="28"/>
          <w:szCs w:val="22"/>
        </w:rPr>
        <w:t>FX</w:t>
      </w:r>
      <w:r w:rsidRPr="00C67119">
        <w:rPr>
          <w:sz w:val="28"/>
          <w:szCs w:val="22"/>
        </w:rPr>
        <w:t xml:space="preserve"> purchase amount</w:t>
      </w:r>
      <w:r>
        <w:rPr>
          <w:rFonts w:hint="eastAsia"/>
          <w:sz w:val="28"/>
          <w:szCs w:val="22"/>
        </w:rPr>
        <w:t xml:space="preserve"> </w:t>
      </w:r>
      <w:r w:rsidRPr="00C67119">
        <w:rPr>
          <w:sz w:val="28"/>
          <w:szCs w:val="22"/>
        </w:rPr>
        <w:t>is taken to be zero if: (1)</w:t>
      </w:r>
      <w:r>
        <w:rPr>
          <w:rFonts w:hint="eastAsia"/>
          <w:sz w:val="28"/>
          <w:szCs w:val="22"/>
        </w:rPr>
        <w:t xml:space="preserve"> </w:t>
      </w:r>
      <w:r w:rsidRPr="00C67119">
        <w:rPr>
          <w:sz w:val="28"/>
          <w:szCs w:val="22"/>
        </w:rPr>
        <w:t xml:space="preserve">the </w:t>
      </w:r>
      <w:r>
        <w:rPr>
          <w:rFonts w:hint="eastAsia"/>
          <w:sz w:val="28"/>
          <w:szCs w:val="22"/>
        </w:rPr>
        <w:t>FX</w:t>
      </w:r>
      <w:r w:rsidRPr="00C67119">
        <w:rPr>
          <w:sz w:val="28"/>
          <w:szCs w:val="22"/>
        </w:rPr>
        <w:t xml:space="preserve"> has</w:t>
      </w:r>
      <w:r>
        <w:rPr>
          <w:rFonts w:hint="eastAsia"/>
          <w:sz w:val="28"/>
          <w:szCs w:val="22"/>
        </w:rPr>
        <w:t xml:space="preserve"> </w:t>
      </w:r>
      <w:r w:rsidRPr="00C67119">
        <w:rPr>
          <w:sz w:val="28"/>
          <w:szCs w:val="22"/>
        </w:rPr>
        <w:t>been sold</w:t>
      </w:r>
      <w:r>
        <w:rPr>
          <w:rFonts w:hint="eastAsia"/>
          <w:sz w:val="28"/>
          <w:szCs w:val="22"/>
        </w:rPr>
        <w:t xml:space="preserve"> </w:t>
      </w:r>
      <w:r w:rsidRPr="00C67119">
        <w:rPr>
          <w:sz w:val="28"/>
          <w:szCs w:val="22"/>
        </w:rPr>
        <w:t xml:space="preserve">during such period; (2) the preceding trading day is a </w:t>
      </w:r>
      <w:r>
        <w:rPr>
          <w:rFonts w:hint="eastAsia"/>
          <w:sz w:val="28"/>
          <w:szCs w:val="22"/>
        </w:rPr>
        <w:t>FX</w:t>
      </w:r>
      <w:r w:rsidRPr="00C67119">
        <w:rPr>
          <w:sz w:val="28"/>
          <w:szCs w:val="22"/>
        </w:rPr>
        <w:t xml:space="preserve"> cut-off date; or (3) the profit currency has been changed after the</w:t>
      </w:r>
      <w:r>
        <w:rPr>
          <w:rFonts w:hint="eastAsia"/>
          <w:sz w:val="28"/>
          <w:szCs w:val="22"/>
        </w:rPr>
        <w:t xml:space="preserve"> </w:t>
      </w:r>
      <w:r w:rsidRPr="00C67119">
        <w:rPr>
          <w:sz w:val="28"/>
          <w:szCs w:val="22"/>
        </w:rPr>
        <w:t>time of clearing on the preceding trading day.</w:t>
      </w:r>
    </w:p>
    <w:p w:rsidR="00A441C1" w:rsidRDefault="00A441C1" w:rsidP="00A441C1">
      <w:pPr>
        <w:pStyle w:val="a6"/>
        <w:snapToGrid w:val="0"/>
        <w:spacing w:afterLines="100" w:line="276" w:lineRule="auto"/>
        <w:ind w:left="0"/>
        <w:rPr>
          <w:sz w:val="28"/>
          <w:szCs w:val="22"/>
        </w:rPr>
      </w:pPr>
      <w:r w:rsidRPr="00C67119">
        <w:rPr>
          <w:sz w:val="28"/>
          <w:szCs w:val="22"/>
        </w:rPr>
        <w:t>4.</w:t>
      </w:r>
      <w:r w:rsidRPr="00C67119">
        <w:rPr>
          <w:sz w:val="28"/>
          <w:szCs w:val="22"/>
        </w:rPr>
        <w:tab/>
        <w:t>Current day’s RMB balance = preceding trading day’s RMB balance +current day’s net profit or loss on</w:t>
      </w:r>
      <w:r>
        <w:rPr>
          <w:rFonts w:hint="eastAsia"/>
          <w:sz w:val="28"/>
          <w:szCs w:val="22"/>
        </w:rPr>
        <w:t xml:space="preserve"> </w:t>
      </w:r>
      <w:r w:rsidRPr="00C67119">
        <w:rPr>
          <w:sz w:val="28"/>
          <w:szCs w:val="22"/>
        </w:rPr>
        <w:t>SDFPs–funds withdrawn + funds deposited.</w:t>
      </w:r>
    </w:p>
    <w:p w:rsidR="00A441C1" w:rsidRDefault="00A441C1" w:rsidP="00A441C1">
      <w:pPr>
        <w:pStyle w:val="a6"/>
        <w:snapToGrid w:val="0"/>
        <w:spacing w:afterLines="100" w:line="276" w:lineRule="auto"/>
        <w:ind w:left="0"/>
        <w:rPr>
          <w:sz w:val="28"/>
          <w:szCs w:val="22"/>
        </w:rPr>
      </w:pPr>
      <w:r w:rsidRPr="00C67119">
        <w:rPr>
          <w:sz w:val="28"/>
          <w:szCs w:val="22"/>
        </w:rPr>
        <w:t xml:space="preserve">RMB balance is the RMB-denominated cash balance of an overseas client or overseas broker. The above formulas have taken into account the profit or loss, various fees, and other amounts related to SDFPs. In particular, other amounts are </w:t>
      </w:r>
      <w:r w:rsidRPr="00802E78">
        <w:rPr>
          <w:sz w:val="28"/>
          <w:szCs w:val="22"/>
        </w:rPr>
        <w:t>reflected</w:t>
      </w:r>
      <w:r w:rsidRPr="00C67119">
        <w:rPr>
          <w:sz w:val="28"/>
          <w:szCs w:val="22"/>
        </w:rPr>
        <w:t xml:space="preserve"> in funds withdrawals.</w:t>
      </w:r>
    </w:p>
    <w:p w:rsidR="00A441C1" w:rsidRDefault="00A441C1" w:rsidP="00A441C1">
      <w:pPr>
        <w:pStyle w:val="a6"/>
        <w:snapToGrid w:val="0"/>
        <w:spacing w:afterLines="100" w:line="276" w:lineRule="auto"/>
        <w:ind w:left="0"/>
        <w:rPr>
          <w:sz w:val="28"/>
          <w:szCs w:val="22"/>
        </w:rPr>
      </w:pPr>
      <w:r w:rsidRPr="00C67119">
        <w:rPr>
          <w:sz w:val="28"/>
          <w:szCs w:val="22"/>
        </w:rPr>
        <w:t>5.</w:t>
      </w:r>
      <w:r w:rsidRPr="00C67119">
        <w:rPr>
          <w:sz w:val="28"/>
          <w:szCs w:val="22"/>
        </w:rPr>
        <w:tab/>
      </w:r>
      <w:r>
        <w:rPr>
          <w:rFonts w:hint="eastAsia"/>
          <w:sz w:val="28"/>
          <w:szCs w:val="22"/>
        </w:rPr>
        <w:t>C</w:t>
      </w:r>
      <w:r w:rsidRPr="00C67119">
        <w:rPr>
          <w:sz w:val="28"/>
          <w:szCs w:val="22"/>
        </w:rPr>
        <w:t>ut-off date</w:t>
      </w:r>
      <w:r>
        <w:rPr>
          <w:rFonts w:hint="eastAsia"/>
          <w:sz w:val="28"/>
          <w:szCs w:val="22"/>
        </w:rPr>
        <w:t xml:space="preserve"> for FX conversion</w:t>
      </w:r>
      <w:r w:rsidRPr="00C67119">
        <w:rPr>
          <w:sz w:val="28"/>
          <w:szCs w:val="22"/>
        </w:rPr>
        <w:t xml:space="preserve">: The fourth Monday of each month (postponed to the next trading day if it falls on a public holiday). If </w:t>
      </w:r>
      <w:r w:rsidRPr="00C67119">
        <w:rPr>
          <w:rFonts w:hint="eastAsia"/>
          <w:sz w:val="28"/>
          <w:szCs w:val="22"/>
        </w:rPr>
        <w:t>the</w:t>
      </w:r>
      <w:r w:rsidRPr="00C67119">
        <w:rPr>
          <w:sz w:val="28"/>
          <w:szCs w:val="22"/>
        </w:rPr>
        <w:t xml:space="preserve"> current day is a cut-off date</w:t>
      </w:r>
      <w:r>
        <w:rPr>
          <w:rFonts w:hint="eastAsia"/>
          <w:sz w:val="28"/>
          <w:szCs w:val="22"/>
        </w:rPr>
        <w:t xml:space="preserve"> for FX conversion</w:t>
      </w:r>
      <w:r w:rsidRPr="00C67119">
        <w:rPr>
          <w:sz w:val="28"/>
          <w:szCs w:val="22"/>
        </w:rPr>
        <w:t>, the cumulative</w:t>
      </w:r>
      <w:r>
        <w:rPr>
          <w:rFonts w:hint="eastAsia"/>
          <w:sz w:val="28"/>
          <w:szCs w:val="22"/>
        </w:rPr>
        <w:t xml:space="preserve"> </w:t>
      </w:r>
      <w:r w:rsidRPr="00C67119">
        <w:rPr>
          <w:sz w:val="28"/>
          <w:szCs w:val="22"/>
        </w:rPr>
        <w:t>net profit or loss of an overseas client or overseas broker</w:t>
      </w:r>
      <w:r>
        <w:rPr>
          <w:rFonts w:hint="eastAsia"/>
          <w:sz w:val="28"/>
          <w:szCs w:val="22"/>
        </w:rPr>
        <w:t xml:space="preserve"> </w:t>
      </w:r>
      <w:r w:rsidRPr="00C67119">
        <w:rPr>
          <w:sz w:val="28"/>
          <w:szCs w:val="22"/>
        </w:rPr>
        <w:t>should</w:t>
      </w:r>
      <w:r>
        <w:rPr>
          <w:rFonts w:hint="eastAsia"/>
          <w:sz w:val="28"/>
          <w:szCs w:val="22"/>
        </w:rPr>
        <w:t xml:space="preserve"> </w:t>
      </w:r>
      <w:r w:rsidRPr="00C67119">
        <w:rPr>
          <w:sz w:val="28"/>
          <w:szCs w:val="22"/>
        </w:rPr>
        <w:t>not continue to be</w:t>
      </w:r>
      <w:r>
        <w:rPr>
          <w:rFonts w:hint="eastAsia"/>
          <w:sz w:val="28"/>
          <w:szCs w:val="22"/>
        </w:rPr>
        <w:t xml:space="preserve"> </w:t>
      </w:r>
      <w:r w:rsidRPr="00C67119">
        <w:rPr>
          <w:kern w:val="0"/>
          <w:sz w:val="28"/>
          <w:szCs w:val="22"/>
        </w:rPr>
        <w:t>accrued,</w:t>
      </w:r>
      <w:r>
        <w:rPr>
          <w:rFonts w:hint="eastAsia"/>
          <w:kern w:val="0"/>
          <w:sz w:val="28"/>
          <w:szCs w:val="22"/>
        </w:rPr>
        <w:t xml:space="preserve"> </w:t>
      </w:r>
      <w:r w:rsidRPr="00C67119">
        <w:rPr>
          <w:sz w:val="28"/>
          <w:szCs w:val="22"/>
        </w:rPr>
        <w:t xml:space="preserve">and a member should complete </w:t>
      </w:r>
      <w:r>
        <w:rPr>
          <w:rFonts w:hint="eastAsia"/>
          <w:sz w:val="28"/>
          <w:szCs w:val="22"/>
        </w:rPr>
        <w:t>FX conversion</w:t>
      </w:r>
      <w:r w:rsidRPr="00C67119">
        <w:rPr>
          <w:sz w:val="28"/>
          <w:szCs w:val="22"/>
        </w:rPr>
        <w:t xml:space="preserve"> for overseas client or overseas broker in accordance with the current day’s</w:t>
      </w:r>
      <w:r>
        <w:rPr>
          <w:rFonts w:hint="eastAsia"/>
          <w:sz w:val="28"/>
          <w:szCs w:val="22"/>
        </w:rPr>
        <w:t xml:space="preserve"> eligible amount for conversion</w:t>
      </w:r>
      <w:r w:rsidRPr="00C67119">
        <w:rPr>
          <w:sz w:val="28"/>
          <w:szCs w:val="22"/>
        </w:rPr>
        <w:t xml:space="preserve"> of such overseas client or overseas broker</w:t>
      </w:r>
      <w:r>
        <w:rPr>
          <w:rFonts w:hint="eastAsia"/>
          <w:sz w:val="28"/>
          <w:szCs w:val="22"/>
        </w:rPr>
        <w:t xml:space="preserve"> </w:t>
      </w:r>
      <w:r w:rsidRPr="00C67119">
        <w:rPr>
          <w:sz w:val="28"/>
          <w:szCs w:val="22"/>
        </w:rPr>
        <w:t>before market close of the next trading day.</w:t>
      </w:r>
    </w:p>
    <w:p w:rsidR="00A441C1" w:rsidRDefault="00A441C1" w:rsidP="00A441C1">
      <w:pPr>
        <w:tabs>
          <w:tab w:val="left" w:pos="426"/>
        </w:tabs>
        <w:snapToGrid w:val="0"/>
        <w:spacing w:afterLines="100" w:line="276" w:lineRule="auto"/>
        <w:rPr>
          <w:b/>
          <w:sz w:val="28"/>
          <w:szCs w:val="22"/>
        </w:rPr>
      </w:pPr>
      <w:r w:rsidRPr="00C67119">
        <w:rPr>
          <w:b/>
          <w:sz w:val="28"/>
          <w:szCs w:val="22"/>
        </w:rPr>
        <w:t>II.</w:t>
      </w:r>
      <w:r w:rsidRPr="00C67119">
        <w:rPr>
          <w:b/>
          <w:sz w:val="28"/>
          <w:szCs w:val="22"/>
        </w:rPr>
        <w:tab/>
        <w:t>Basic Principles</w:t>
      </w:r>
    </w:p>
    <w:p w:rsidR="00A441C1" w:rsidRDefault="00A441C1" w:rsidP="00A441C1">
      <w:pPr>
        <w:pStyle w:val="a6"/>
        <w:snapToGrid w:val="0"/>
        <w:spacing w:afterLines="100" w:line="276" w:lineRule="auto"/>
        <w:ind w:left="0"/>
        <w:rPr>
          <w:sz w:val="28"/>
          <w:szCs w:val="22"/>
        </w:rPr>
      </w:pPr>
      <w:r w:rsidRPr="00C67119">
        <w:rPr>
          <w:sz w:val="28"/>
          <w:szCs w:val="22"/>
        </w:rPr>
        <w:t>1.</w:t>
      </w:r>
      <w:r w:rsidRPr="00C67119">
        <w:rPr>
          <w:sz w:val="28"/>
          <w:szCs w:val="22"/>
        </w:rPr>
        <w:tab/>
        <w:t xml:space="preserve">Settlement currency: RMB. Foreign currency margin can be used </w:t>
      </w:r>
      <w:r>
        <w:rPr>
          <w:rFonts w:hint="eastAsia"/>
          <w:sz w:val="28"/>
          <w:szCs w:val="22"/>
        </w:rPr>
        <w:t>for</w:t>
      </w:r>
      <w:r w:rsidRPr="00C67119">
        <w:rPr>
          <w:sz w:val="28"/>
          <w:szCs w:val="22"/>
        </w:rPr>
        <w:t xml:space="preserve"> settlement only after it is </w:t>
      </w:r>
      <w:r>
        <w:rPr>
          <w:rFonts w:hint="eastAsia"/>
          <w:sz w:val="28"/>
          <w:szCs w:val="22"/>
        </w:rPr>
        <w:t xml:space="preserve">converted </w:t>
      </w:r>
      <w:r w:rsidRPr="00C67119">
        <w:rPr>
          <w:sz w:val="28"/>
          <w:szCs w:val="22"/>
        </w:rPr>
        <w:t>into RMB.</w:t>
      </w:r>
    </w:p>
    <w:p w:rsidR="00A441C1" w:rsidRDefault="00A441C1" w:rsidP="00A441C1">
      <w:pPr>
        <w:pStyle w:val="a6"/>
        <w:snapToGrid w:val="0"/>
        <w:spacing w:afterLines="100" w:line="276" w:lineRule="auto"/>
        <w:ind w:left="0"/>
        <w:rPr>
          <w:sz w:val="28"/>
          <w:szCs w:val="22"/>
        </w:rPr>
      </w:pPr>
      <w:bookmarkStart w:id="2" w:name="OLE_LINK4"/>
      <w:r w:rsidRPr="00C67119">
        <w:rPr>
          <w:sz w:val="28"/>
          <w:szCs w:val="22"/>
        </w:rPr>
        <w:t>2.</w:t>
      </w:r>
      <w:r w:rsidRPr="00C67119">
        <w:rPr>
          <w:sz w:val="28"/>
          <w:szCs w:val="22"/>
        </w:rPr>
        <w:tab/>
        <w:t>Profit currency</w:t>
      </w:r>
      <w:bookmarkEnd w:id="2"/>
      <w:r w:rsidRPr="00C67119">
        <w:rPr>
          <w:sz w:val="28"/>
          <w:szCs w:val="22"/>
        </w:rPr>
        <w:t xml:space="preserve">: Overseas clients and overseas brokers may freely select either RMB or USD as their profit currency, but the choice should be specified in writing in agreement with their carrying members. The profit currency </w:t>
      </w:r>
      <w:r>
        <w:rPr>
          <w:rFonts w:hint="eastAsia"/>
          <w:sz w:val="28"/>
          <w:szCs w:val="22"/>
        </w:rPr>
        <w:t>cannot b</w:t>
      </w:r>
      <w:r w:rsidRPr="00C67119">
        <w:rPr>
          <w:sz w:val="28"/>
          <w:szCs w:val="22"/>
        </w:rPr>
        <w:t xml:space="preserve">e </w:t>
      </w:r>
      <w:r>
        <w:rPr>
          <w:rFonts w:hint="eastAsia"/>
          <w:sz w:val="28"/>
          <w:szCs w:val="22"/>
        </w:rPr>
        <w:t>modified until 6 months later.</w:t>
      </w:r>
    </w:p>
    <w:p w:rsidR="00A441C1" w:rsidRDefault="00A441C1" w:rsidP="00A441C1">
      <w:pPr>
        <w:pStyle w:val="a6"/>
        <w:snapToGrid w:val="0"/>
        <w:spacing w:afterLines="100" w:line="276" w:lineRule="auto"/>
        <w:ind w:left="0"/>
        <w:rPr>
          <w:sz w:val="28"/>
          <w:szCs w:val="22"/>
        </w:rPr>
      </w:pPr>
      <w:r w:rsidRPr="00C67119">
        <w:rPr>
          <w:sz w:val="28"/>
          <w:szCs w:val="22"/>
        </w:rPr>
        <w:t>3.</w:t>
      </w:r>
      <w:r w:rsidRPr="00C67119">
        <w:rPr>
          <w:sz w:val="28"/>
          <w:szCs w:val="22"/>
        </w:rPr>
        <w:tab/>
        <w:t xml:space="preserve">Types of </w:t>
      </w:r>
      <w:r>
        <w:rPr>
          <w:rFonts w:hint="eastAsia"/>
          <w:sz w:val="28"/>
          <w:szCs w:val="22"/>
        </w:rPr>
        <w:t>FX conversion</w:t>
      </w:r>
      <w:r w:rsidRPr="00C67119">
        <w:rPr>
          <w:sz w:val="28"/>
          <w:szCs w:val="22"/>
        </w:rPr>
        <w:t>:</w:t>
      </w:r>
      <w:r>
        <w:rPr>
          <w:rFonts w:hint="eastAsia"/>
          <w:sz w:val="28"/>
          <w:szCs w:val="22"/>
        </w:rPr>
        <w:t xml:space="preserve"> </w:t>
      </w:r>
      <w:r w:rsidRPr="00C67119">
        <w:rPr>
          <w:sz w:val="28"/>
          <w:szCs w:val="22"/>
        </w:rPr>
        <w:t xml:space="preserve">There are three types, namely </w:t>
      </w:r>
      <w:bookmarkStart w:id="3" w:name="_Hlk59805135"/>
      <w:r>
        <w:rPr>
          <w:rFonts w:hint="eastAsia"/>
          <w:sz w:val="28"/>
          <w:szCs w:val="22"/>
        </w:rPr>
        <w:t>FX conversion</w:t>
      </w:r>
      <w:r w:rsidRPr="00C67119">
        <w:rPr>
          <w:sz w:val="28"/>
          <w:szCs w:val="22"/>
        </w:rPr>
        <w:t xml:space="preserve"> for daily </w:t>
      </w:r>
      <w:r>
        <w:rPr>
          <w:rFonts w:hint="eastAsia"/>
          <w:sz w:val="28"/>
          <w:szCs w:val="22"/>
        </w:rPr>
        <w:t>settlement</w:t>
      </w:r>
      <w:r w:rsidRPr="00C67119">
        <w:rPr>
          <w:sz w:val="28"/>
          <w:szCs w:val="22"/>
        </w:rPr>
        <w:t xml:space="preserve">, </w:t>
      </w:r>
      <w:r>
        <w:rPr>
          <w:rFonts w:hint="eastAsia"/>
          <w:sz w:val="28"/>
          <w:szCs w:val="22"/>
        </w:rPr>
        <w:t>FX conversion</w:t>
      </w:r>
      <w:r w:rsidRPr="00C67119">
        <w:rPr>
          <w:sz w:val="28"/>
          <w:szCs w:val="22"/>
        </w:rPr>
        <w:t xml:space="preserve"> for delivery payment, and </w:t>
      </w:r>
      <w:r>
        <w:rPr>
          <w:rFonts w:hint="eastAsia"/>
          <w:sz w:val="28"/>
          <w:szCs w:val="22"/>
        </w:rPr>
        <w:t>Exchange-</w:t>
      </w:r>
      <w:r w:rsidRPr="00161B60">
        <w:rPr>
          <w:sz w:val="28"/>
          <w:szCs w:val="22"/>
        </w:rPr>
        <w:t>forced FX settlement</w:t>
      </w:r>
      <w:bookmarkEnd w:id="3"/>
      <w:r w:rsidRPr="00C67119">
        <w:rPr>
          <w:sz w:val="28"/>
          <w:szCs w:val="22"/>
        </w:rPr>
        <w:t>.</w:t>
      </w:r>
    </w:p>
    <w:p w:rsidR="00A441C1" w:rsidRDefault="00A441C1" w:rsidP="00A441C1">
      <w:pPr>
        <w:pStyle w:val="a6"/>
        <w:snapToGrid w:val="0"/>
        <w:spacing w:afterLines="100" w:line="276" w:lineRule="auto"/>
        <w:ind w:left="0"/>
        <w:rPr>
          <w:sz w:val="28"/>
          <w:szCs w:val="22"/>
        </w:rPr>
      </w:pPr>
      <w:r w:rsidRPr="00C67119">
        <w:rPr>
          <w:sz w:val="28"/>
          <w:szCs w:val="22"/>
        </w:rPr>
        <w:lastRenderedPageBreak/>
        <w:t>4.</w:t>
      </w:r>
      <w:r w:rsidRPr="00C67119">
        <w:rPr>
          <w:sz w:val="28"/>
          <w:szCs w:val="22"/>
        </w:rPr>
        <w:tab/>
      </w:r>
      <w:r>
        <w:rPr>
          <w:rFonts w:hint="eastAsia"/>
          <w:sz w:val="28"/>
          <w:szCs w:val="22"/>
        </w:rPr>
        <w:t>Eligible amount for conversion</w:t>
      </w:r>
      <w:r w:rsidRPr="00C67119">
        <w:rPr>
          <w:sz w:val="28"/>
          <w:szCs w:val="22"/>
        </w:rPr>
        <w:t>: At daily clearing, member-side systems automatically calculate the</w:t>
      </w:r>
      <w:r>
        <w:rPr>
          <w:rFonts w:hint="eastAsia"/>
          <w:sz w:val="28"/>
          <w:szCs w:val="22"/>
        </w:rPr>
        <w:t xml:space="preserve"> </w:t>
      </w:r>
      <w:r w:rsidRPr="00C67119">
        <w:rPr>
          <w:sz w:val="28"/>
          <w:szCs w:val="22"/>
        </w:rPr>
        <w:t xml:space="preserve">current day’s </w:t>
      </w:r>
      <w:r>
        <w:rPr>
          <w:rFonts w:hint="eastAsia"/>
          <w:sz w:val="28"/>
          <w:szCs w:val="22"/>
        </w:rPr>
        <w:t xml:space="preserve">eligible amount for conversion </w:t>
      </w:r>
      <w:r w:rsidRPr="00C67119">
        <w:rPr>
          <w:sz w:val="28"/>
          <w:szCs w:val="22"/>
        </w:rPr>
        <w:t xml:space="preserve">of each overseas client and overseas broker based on the trading results of SDFPs. </w:t>
      </w:r>
      <w:r w:rsidRPr="00B54987">
        <w:rPr>
          <w:sz w:val="28"/>
          <w:szCs w:val="22"/>
        </w:rPr>
        <w:t xml:space="preserve">Netting of the </w:t>
      </w:r>
      <w:r>
        <w:rPr>
          <w:rFonts w:hint="eastAsia"/>
          <w:sz w:val="28"/>
          <w:szCs w:val="22"/>
        </w:rPr>
        <w:t xml:space="preserve">eligible amount for conversion </w:t>
      </w:r>
      <w:r w:rsidRPr="00C67119">
        <w:rPr>
          <w:sz w:val="28"/>
          <w:szCs w:val="22"/>
        </w:rPr>
        <w:t>of different overseas clients or overseas brokers is not permitted. Once calculated, the</w:t>
      </w:r>
      <w:r>
        <w:rPr>
          <w:rFonts w:hint="eastAsia"/>
          <w:sz w:val="28"/>
          <w:szCs w:val="22"/>
        </w:rPr>
        <w:t xml:space="preserve"> </w:t>
      </w:r>
      <w:r w:rsidRPr="00C67119">
        <w:rPr>
          <w:sz w:val="28"/>
          <w:szCs w:val="22"/>
        </w:rPr>
        <w:t xml:space="preserve">current day’s </w:t>
      </w:r>
      <w:r>
        <w:rPr>
          <w:rFonts w:hint="eastAsia"/>
          <w:sz w:val="28"/>
          <w:szCs w:val="22"/>
        </w:rPr>
        <w:t xml:space="preserve">eligible amount for conversion </w:t>
      </w:r>
      <w:r w:rsidRPr="00C67119">
        <w:rPr>
          <w:sz w:val="28"/>
          <w:szCs w:val="22"/>
        </w:rPr>
        <w:t>may not be changed.</w:t>
      </w:r>
    </w:p>
    <w:p w:rsidR="00A441C1" w:rsidRDefault="00A441C1" w:rsidP="00A441C1">
      <w:pPr>
        <w:pStyle w:val="a6"/>
        <w:snapToGrid w:val="0"/>
        <w:spacing w:afterLines="100" w:line="276" w:lineRule="auto"/>
        <w:ind w:left="0"/>
        <w:rPr>
          <w:sz w:val="28"/>
          <w:szCs w:val="22"/>
        </w:rPr>
      </w:pPr>
      <w:r w:rsidRPr="00C67119">
        <w:rPr>
          <w:sz w:val="28"/>
          <w:szCs w:val="22"/>
        </w:rPr>
        <w:t>5.</w:t>
      </w:r>
      <w:r w:rsidRPr="00C67119">
        <w:rPr>
          <w:sz w:val="28"/>
          <w:szCs w:val="22"/>
        </w:rPr>
        <w:tab/>
      </w:r>
      <w:r>
        <w:rPr>
          <w:rFonts w:hint="eastAsia"/>
          <w:sz w:val="28"/>
          <w:szCs w:val="22"/>
        </w:rPr>
        <w:t>FX conversion</w:t>
      </w:r>
      <w:r w:rsidRPr="00C67119">
        <w:rPr>
          <w:sz w:val="28"/>
          <w:szCs w:val="22"/>
        </w:rPr>
        <w:t xml:space="preserve">: Members should complete </w:t>
      </w:r>
      <w:r>
        <w:rPr>
          <w:rFonts w:hint="eastAsia"/>
          <w:sz w:val="28"/>
          <w:szCs w:val="22"/>
        </w:rPr>
        <w:t>FX conversion</w:t>
      </w:r>
      <w:r w:rsidRPr="00C67119">
        <w:rPr>
          <w:sz w:val="28"/>
          <w:szCs w:val="22"/>
        </w:rPr>
        <w:t xml:space="preserve"> before the prescribed </w:t>
      </w:r>
      <w:r>
        <w:rPr>
          <w:rFonts w:hint="eastAsia"/>
          <w:sz w:val="28"/>
          <w:szCs w:val="22"/>
        </w:rPr>
        <w:t xml:space="preserve">cut-off </w:t>
      </w:r>
      <w:r w:rsidRPr="00C67119">
        <w:rPr>
          <w:sz w:val="28"/>
          <w:szCs w:val="22"/>
        </w:rPr>
        <w:t xml:space="preserve">time. </w:t>
      </w:r>
      <w:r>
        <w:rPr>
          <w:rFonts w:hint="eastAsia"/>
          <w:sz w:val="28"/>
          <w:szCs w:val="22"/>
        </w:rPr>
        <w:t>FX conversion</w:t>
      </w:r>
      <w:r w:rsidRPr="00C67119">
        <w:rPr>
          <w:sz w:val="28"/>
          <w:szCs w:val="22"/>
        </w:rPr>
        <w:t xml:space="preserve"> must be performed through a designated</w:t>
      </w:r>
      <w:r>
        <w:rPr>
          <w:rFonts w:hint="eastAsia"/>
          <w:sz w:val="28"/>
          <w:szCs w:val="22"/>
        </w:rPr>
        <w:t xml:space="preserve"> </w:t>
      </w:r>
      <w:r w:rsidRPr="00C67119">
        <w:rPr>
          <w:sz w:val="28"/>
          <w:szCs w:val="22"/>
        </w:rPr>
        <w:t>depository bank qualified to keep custody of</w:t>
      </w:r>
      <w:r>
        <w:rPr>
          <w:rFonts w:hint="eastAsia"/>
          <w:sz w:val="28"/>
          <w:szCs w:val="22"/>
        </w:rPr>
        <w:t xml:space="preserve"> </w:t>
      </w:r>
      <w:r w:rsidRPr="00C67119">
        <w:rPr>
          <w:sz w:val="28"/>
          <w:szCs w:val="22"/>
        </w:rPr>
        <w:t xml:space="preserve">margin funds of overseas clients, and executed via the relevant member’s </w:t>
      </w:r>
      <w:r w:rsidRPr="007E6428">
        <w:rPr>
          <w:sz w:val="28"/>
          <w:szCs w:val="22"/>
        </w:rPr>
        <w:t>dedicated RMB margin account and dedicated foreign currency margin account.</w:t>
      </w:r>
    </w:p>
    <w:p w:rsidR="00A441C1" w:rsidRDefault="00A441C1" w:rsidP="00A441C1">
      <w:pPr>
        <w:tabs>
          <w:tab w:val="left" w:pos="426"/>
        </w:tabs>
        <w:snapToGrid w:val="0"/>
        <w:spacing w:afterLines="100" w:line="276" w:lineRule="auto"/>
        <w:rPr>
          <w:b/>
          <w:sz w:val="28"/>
          <w:szCs w:val="22"/>
        </w:rPr>
      </w:pPr>
      <w:r w:rsidRPr="00C67119">
        <w:rPr>
          <w:b/>
          <w:sz w:val="28"/>
          <w:szCs w:val="22"/>
        </w:rPr>
        <w:t>III.</w:t>
      </w:r>
      <w:r w:rsidRPr="00C67119">
        <w:rPr>
          <w:b/>
          <w:sz w:val="28"/>
          <w:szCs w:val="22"/>
        </w:rPr>
        <w:tab/>
      </w:r>
      <w:r>
        <w:rPr>
          <w:rFonts w:hint="eastAsia"/>
          <w:b/>
          <w:sz w:val="28"/>
          <w:szCs w:val="22"/>
        </w:rPr>
        <w:t>FX Conversion</w:t>
      </w:r>
      <w:r w:rsidRPr="00C67119">
        <w:rPr>
          <w:b/>
          <w:sz w:val="28"/>
          <w:szCs w:val="22"/>
        </w:rPr>
        <w:t xml:space="preserve"> for Daily Settlement</w:t>
      </w:r>
    </w:p>
    <w:p w:rsidR="00A441C1" w:rsidRDefault="00A441C1" w:rsidP="00A441C1">
      <w:pPr>
        <w:snapToGrid w:val="0"/>
        <w:spacing w:afterLines="100" w:line="276" w:lineRule="auto"/>
        <w:rPr>
          <w:sz w:val="28"/>
          <w:szCs w:val="22"/>
        </w:rPr>
      </w:pPr>
      <w:r w:rsidRPr="00C67119">
        <w:rPr>
          <w:sz w:val="28"/>
          <w:szCs w:val="22"/>
        </w:rPr>
        <w:t xml:space="preserve">A member may use the following table to determine whether it needs to complete </w:t>
      </w:r>
      <w:r>
        <w:rPr>
          <w:rFonts w:hint="eastAsia"/>
          <w:sz w:val="28"/>
          <w:szCs w:val="22"/>
        </w:rPr>
        <w:t>FX conversion</w:t>
      </w:r>
      <w:r w:rsidRPr="00C67119">
        <w:rPr>
          <w:sz w:val="28"/>
          <w:szCs w:val="22"/>
        </w:rPr>
        <w:t xml:space="preserve"> for</w:t>
      </w:r>
      <w:r>
        <w:rPr>
          <w:rFonts w:hint="eastAsia"/>
          <w:sz w:val="28"/>
          <w:szCs w:val="22"/>
        </w:rPr>
        <w:t xml:space="preserve"> </w:t>
      </w:r>
      <w:r w:rsidRPr="00C67119">
        <w:rPr>
          <w:sz w:val="28"/>
          <w:szCs w:val="22"/>
        </w:rPr>
        <w:t xml:space="preserve">its overseas clients </w:t>
      </w:r>
      <w:r>
        <w:rPr>
          <w:rFonts w:hint="eastAsia"/>
          <w:sz w:val="28"/>
          <w:szCs w:val="22"/>
        </w:rPr>
        <w:t>and</w:t>
      </w:r>
      <w:r w:rsidRPr="00C67119">
        <w:rPr>
          <w:sz w:val="28"/>
          <w:szCs w:val="22"/>
        </w:rPr>
        <w:t xml:space="preserve"> overseas brokers: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293"/>
        <w:gridCol w:w="1049"/>
        <w:gridCol w:w="1329"/>
        <w:gridCol w:w="1860"/>
        <w:gridCol w:w="1942"/>
      </w:tblGrid>
      <w:tr w:rsidR="00A441C1" w:rsidRPr="00C67119" w:rsidTr="008B25E3">
        <w:tc>
          <w:tcPr>
            <w:tcW w:w="619" w:type="pct"/>
            <w:vAlign w:val="center"/>
          </w:tcPr>
          <w:p w:rsidR="00A441C1" w:rsidRPr="004A1B26" w:rsidRDefault="00A441C1" w:rsidP="008B25E3">
            <w:pPr>
              <w:keepNext/>
              <w:snapToGrid w:val="0"/>
              <w:spacing w:beforeLines="30" w:afterLines="30" w:line="276" w:lineRule="auto"/>
              <w:rPr>
                <w:sz w:val="22"/>
                <w:szCs w:val="20"/>
              </w:rPr>
            </w:pPr>
            <w:r w:rsidRPr="004A1B26">
              <w:rPr>
                <w:sz w:val="22"/>
                <w:szCs w:val="20"/>
              </w:rPr>
              <w:t>Current Day’s RMB Balance</w:t>
            </w:r>
          </w:p>
        </w:tc>
        <w:tc>
          <w:tcPr>
            <w:tcW w:w="762" w:type="pct"/>
            <w:vAlign w:val="center"/>
          </w:tcPr>
          <w:p w:rsidR="00A441C1" w:rsidRPr="004A1B26" w:rsidRDefault="00A441C1" w:rsidP="008B25E3">
            <w:pPr>
              <w:keepNext/>
              <w:snapToGrid w:val="0"/>
              <w:spacing w:beforeLines="30" w:afterLines="30" w:line="276" w:lineRule="auto"/>
              <w:rPr>
                <w:sz w:val="22"/>
                <w:szCs w:val="20"/>
              </w:rPr>
            </w:pPr>
            <w:bookmarkStart w:id="4" w:name="_Hlk59711498"/>
            <w:r w:rsidRPr="004A1B26">
              <w:rPr>
                <w:sz w:val="22"/>
                <w:szCs w:val="20"/>
              </w:rPr>
              <w:t>Current Day’s Cumulative Net Profit or Loss on</w:t>
            </w:r>
            <w:bookmarkEnd w:id="4"/>
            <w:r w:rsidRPr="004A1B26">
              <w:rPr>
                <w:sz w:val="22"/>
                <w:szCs w:val="20"/>
              </w:rPr>
              <w:t xml:space="preserve"> SDFPs</w:t>
            </w:r>
          </w:p>
        </w:tc>
        <w:tc>
          <w:tcPr>
            <w:tcW w:w="619" w:type="pct"/>
            <w:vAlign w:val="center"/>
          </w:tcPr>
          <w:p w:rsidR="00A441C1" w:rsidRPr="004A1B26" w:rsidRDefault="00A441C1" w:rsidP="008B25E3">
            <w:pPr>
              <w:keepNext/>
              <w:snapToGrid w:val="0"/>
              <w:spacing w:beforeLines="30" w:afterLines="30" w:line="276" w:lineRule="auto"/>
              <w:rPr>
                <w:sz w:val="22"/>
                <w:szCs w:val="20"/>
              </w:rPr>
            </w:pPr>
            <w:r w:rsidRPr="004A1B26">
              <w:rPr>
                <w:sz w:val="22"/>
                <w:szCs w:val="20"/>
              </w:rPr>
              <w:t>Profit Currency</w:t>
            </w:r>
          </w:p>
        </w:tc>
        <w:tc>
          <w:tcPr>
            <w:tcW w:w="762" w:type="pct"/>
            <w:vAlign w:val="center"/>
          </w:tcPr>
          <w:p w:rsidR="00A441C1" w:rsidRPr="004A1B26" w:rsidRDefault="00A441C1" w:rsidP="008B25E3">
            <w:pPr>
              <w:spacing w:before="93" w:afterLines="100"/>
              <w:rPr>
                <w:sz w:val="22"/>
                <w:szCs w:val="20"/>
              </w:rPr>
            </w:pPr>
            <w:r w:rsidRPr="004A1B26">
              <w:rPr>
                <w:sz w:val="22"/>
                <w:szCs w:val="20"/>
              </w:rPr>
              <w:t>Is the Current</w:t>
            </w:r>
            <w:r w:rsidRPr="004A1B26">
              <w:rPr>
                <w:rFonts w:hint="eastAsia"/>
                <w:sz w:val="22"/>
                <w:szCs w:val="20"/>
              </w:rPr>
              <w:t xml:space="preserve"> </w:t>
            </w:r>
            <w:r w:rsidRPr="004A1B26">
              <w:rPr>
                <w:sz w:val="22"/>
                <w:szCs w:val="20"/>
              </w:rPr>
              <w:t>Day a Cut-Off Date</w:t>
            </w:r>
            <w:r w:rsidRPr="004A1B26">
              <w:rPr>
                <w:rFonts w:hint="eastAsia"/>
                <w:sz w:val="22"/>
                <w:szCs w:val="20"/>
              </w:rPr>
              <w:t xml:space="preserve"> for FX Conversion</w:t>
            </w:r>
            <w:r w:rsidRPr="004A1B26">
              <w:rPr>
                <w:sz w:val="22"/>
                <w:szCs w:val="20"/>
              </w:rPr>
              <w:t>?</w:t>
            </w:r>
          </w:p>
        </w:tc>
        <w:tc>
          <w:tcPr>
            <w:tcW w:w="1095" w:type="pct"/>
            <w:vAlign w:val="center"/>
          </w:tcPr>
          <w:p w:rsidR="00A441C1" w:rsidRPr="004A1B26" w:rsidRDefault="00A441C1" w:rsidP="008B25E3">
            <w:pPr>
              <w:spacing w:before="93" w:afterLines="100"/>
              <w:rPr>
                <w:sz w:val="22"/>
                <w:szCs w:val="20"/>
              </w:rPr>
            </w:pPr>
            <w:r w:rsidRPr="004A1B26">
              <w:rPr>
                <w:sz w:val="22"/>
                <w:szCs w:val="20"/>
              </w:rPr>
              <w:t>Will</w:t>
            </w:r>
            <w:r w:rsidRPr="004A1B26">
              <w:rPr>
                <w:rFonts w:hint="eastAsia"/>
                <w:sz w:val="22"/>
                <w:szCs w:val="20"/>
              </w:rPr>
              <w:t xml:space="preserve"> </w:t>
            </w:r>
            <w:r w:rsidRPr="004A1B26">
              <w:rPr>
                <w:sz w:val="22"/>
                <w:szCs w:val="20"/>
              </w:rPr>
              <w:t xml:space="preserve">the Overseas Client or Overseas Broker Submit an Application </w:t>
            </w:r>
            <w:r w:rsidRPr="004A1B26">
              <w:rPr>
                <w:rFonts w:hint="eastAsia"/>
                <w:sz w:val="22"/>
                <w:szCs w:val="20"/>
              </w:rPr>
              <w:t>for FX</w:t>
            </w:r>
            <w:r w:rsidRPr="004A1B26">
              <w:rPr>
                <w:sz w:val="22"/>
                <w:szCs w:val="20"/>
              </w:rPr>
              <w:t xml:space="preserve"> Purchase before 11:30 a.m. on the Next Trading Day</w:t>
            </w:r>
            <w:r w:rsidRPr="004A1B26">
              <w:rPr>
                <w:rFonts w:hint="eastAsia"/>
                <w:sz w:val="22"/>
                <w:szCs w:val="20"/>
              </w:rPr>
              <w:t>？</w:t>
            </w:r>
          </w:p>
        </w:tc>
        <w:tc>
          <w:tcPr>
            <w:tcW w:w="1143" w:type="pct"/>
            <w:vAlign w:val="center"/>
          </w:tcPr>
          <w:p w:rsidR="00A441C1" w:rsidRPr="004A1B26" w:rsidRDefault="00A441C1" w:rsidP="008B25E3">
            <w:pPr>
              <w:spacing w:before="93" w:afterLines="100"/>
              <w:rPr>
                <w:b/>
                <w:bCs/>
                <w:sz w:val="22"/>
                <w:szCs w:val="20"/>
              </w:rPr>
            </w:pPr>
            <w:r w:rsidRPr="004A1B26">
              <w:rPr>
                <w:sz w:val="22"/>
                <w:szCs w:val="20"/>
              </w:rPr>
              <w:t xml:space="preserve">Should </w:t>
            </w:r>
            <w:r w:rsidRPr="004A1B26">
              <w:rPr>
                <w:rFonts w:hint="eastAsia"/>
                <w:sz w:val="22"/>
                <w:szCs w:val="20"/>
              </w:rPr>
              <w:t>FX Conversion</w:t>
            </w:r>
            <w:r w:rsidRPr="004A1B26">
              <w:rPr>
                <w:sz w:val="22"/>
                <w:szCs w:val="20"/>
              </w:rPr>
              <w:t xml:space="preserve"> be </w:t>
            </w:r>
            <w:r w:rsidRPr="004A1B26">
              <w:rPr>
                <w:rFonts w:hint="eastAsia"/>
                <w:sz w:val="22"/>
                <w:szCs w:val="20"/>
              </w:rPr>
              <w:t>Conducted</w:t>
            </w:r>
            <w:r w:rsidRPr="004A1B26">
              <w:rPr>
                <w:sz w:val="22"/>
                <w:szCs w:val="20"/>
              </w:rPr>
              <w:t xml:space="preserve"> before 3:00 p.m.</w:t>
            </w:r>
            <w:r w:rsidRPr="004A1B26">
              <w:rPr>
                <w:rFonts w:hint="eastAsia"/>
                <w:sz w:val="22"/>
                <w:szCs w:val="20"/>
              </w:rPr>
              <w:t xml:space="preserve"> </w:t>
            </w:r>
            <w:r w:rsidRPr="004A1B26">
              <w:rPr>
                <w:sz w:val="22"/>
                <w:szCs w:val="20"/>
              </w:rPr>
              <w:t>on the Next Trading Day?</w:t>
            </w:r>
          </w:p>
        </w:tc>
      </w:tr>
      <w:tr w:rsidR="00A441C1" w:rsidRPr="00C67119" w:rsidTr="008B25E3">
        <w:tc>
          <w:tcPr>
            <w:tcW w:w="619" w:type="pct"/>
            <w:vMerge w:val="restart"/>
            <w:vAlign w:val="center"/>
          </w:tcPr>
          <w:p w:rsidR="00A441C1" w:rsidRPr="004A1B26" w:rsidRDefault="00A441C1" w:rsidP="008B25E3">
            <w:pPr>
              <w:snapToGrid w:val="0"/>
              <w:spacing w:beforeLines="30" w:afterLines="30" w:line="276" w:lineRule="auto"/>
              <w:rPr>
                <w:sz w:val="22"/>
                <w:szCs w:val="20"/>
              </w:rPr>
            </w:pPr>
            <w:r w:rsidRPr="004A1B26">
              <w:rPr>
                <w:sz w:val="22"/>
                <w:szCs w:val="20"/>
              </w:rPr>
              <w:t>≥ 0</w:t>
            </w:r>
          </w:p>
        </w:tc>
        <w:tc>
          <w:tcPr>
            <w:tcW w:w="762" w:type="pct"/>
            <w:vMerge w:val="restart"/>
            <w:vAlign w:val="center"/>
          </w:tcPr>
          <w:p w:rsidR="00A441C1" w:rsidRPr="004A1B26" w:rsidRDefault="00A441C1" w:rsidP="008B25E3">
            <w:pPr>
              <w:snapToGrid w:val="0"/>
              <w:spacing w:beforeLines="30" w:afterLines="30" w:line="276" w:lineRule="auto"/>
              <w:rPr>
                <w:b/>
                <w:bCs/>
                <w:sz w:val="22"/>
                <w:szCs w:val="20"/>
              </w:rPr>
            </w:pPr>
            <w:r w:rsidRPr="004A1B26">
              <w:rPr>
                <w:sz w:val="22"/>
                <w:szCs w:val="20"/>
              </w:rPr>
              <w:t>≥ 0</w:t>
            </w:r>
          </w:p>
        </w:tc>
        <w:tc>
          <w:tcPr>
            <w:tcW w:w="619" w:type="pct"/>
            <w:vAlign w:val="center"/>
          </w:tcPr>
          <w:p w:rsidR="00A441C1" w:rsidRPr="004A1B26" w:rsidRDefault="00A441C1" w:rsidP="008B25E3">
            <w:pPr>
              <w:snapToGrid w:val="0"/>
              <w:spacing w:beforeLines="30" w:afterLines="30" w:line="276" w:lineRule="auto"/>
              <w:rPr>
                <w:b/>
                <w:bCs/>
                <w:sz w:val="22"/>
                <w:szCs w:val="20"/>
              </w:rPr>
            </w:pPr>
            <w:r w:rsidRPr="004A1B26">
              <w:rPr>
                <w:sz w:val="22"/>
                <w:szCs w:val="20"/>
              </w:rPr>
              <w:t>RMB</w:t>
            </w:r>
          </w:p>
        </w:tc>
        <w:tc>
          <w:tcPr>
            <w:tcW w:w="762" w:type="pct"/>
            <w:vAlign w:val="center"/>
          </w:tcPr>
          <w:p w:rsidR="00A441C1" w:rsidRPr="004A1B26" w:rsidRDefault="00A441C1" w:rsidP="008B25E3">
            <w:pPr>
              <w:snapToGrid w:val="0"/>
              <w:spacing w:beforeLines="30" w:afterLines="30" w:line="276" w:lineRule="auto"/>
              <w:rPr>
                <w:b/>
                <w:bCs/>
                <w:sz w:val="22"/>
                <w:szCs w:val="20"/>
              </w:rPr>
            </w:pPr>
            <w:r w:rsidRPr="004A1B26">
              <w:rPr>
                <w:sz w:val="22"/>
                <w:szCs w:val="20"/>
              </w:rPr>
              <w:t>—</w:t>
            </w:r>
          </w:p>
        </w:tc>
        <w:tc>
          <w:tcPr>
            <w:tcW w:w="1095" w:type="pct"/>
            <w:vAlign w:val="center"/>
          </w:tcPr>
          <w:p w:rsidR="00A441C1" w:rsidRPr="004A1B26" w:rsidRDefault="00A441C1" w:rsidP="008B25E3">
            <w:pPr>
              <w:snapToGrid w:val="0"/>
              <w:spacing w:beforeLines="30" w:afterLines="30" w:line="276" w:lineRule="auto"/>
              <w:rPr>
                <w:b/>
                <w:bCs/>
                <w:sz w:val="22"/>
                <w:szCs w:val="20"/>
              </w:rPr>
            </w:pPr>
            <w:r w:rsidRPr="004A1B26">
              <w:rPr>
                <w:sz w:val="22"/>
                <w:szCs w:val="20"/>
              </w:rPr>
              <w:t>—</w:t>
            </w:r>
          </w:p>
        </w:tc>
        <w:tc>
          <w:tcPr>
            <w:tcW w:w="1143" w:type="pct"/>
            <w:vAlign w:val="center"/>
          </w:tcPr>
          <w:p w:rsidR="00A441C1" w:rsidRPr="004A1B26" w:rsidRDefault="00A441C1" w:rsidP="008B25E3">
            <w:pPr>
              <w:snapToGrid w:val="0"/>
              <w:spacing w:beforeLines="30" w:afterLines="30" w:line="276" w:lineRule="auto"/>
              <w:rPr>
                <w:b/>
                <w:bCs/>
                <w:sz w:val="22"/>
                <w:szCs w:val="20"/>
              </w:rPr>
            </w:pPr>
            <w:r w:rsidRPr="004A1B26">
              <w:rPr>
                <w:sz w:val="22"/>
                <w:szCs w:val="20"/>
              </w:rPr>
              <w:t>No</w:t>
            </w:r>
          </w:p>
        </w:tc>
      </w:tr>
      <w:tr w:rsidR="00A441C1" w:rsidRPr="00C67119" w:rsidTr="008B25E3">
        <w:tc>
          <w:tcPr>
            <w:tcW w:w="619" w:type="pct"/>
            <w:vMerge/>
            <w:vAlign w:val="center"/>
          </w:tcPr>
          <w:p w:rsidR="00A441C1" w:rsidRPr="004A1B26" w:rsidRDefault="00A441C1" w:rsidP="008B25E3">
            <w:pPr>
              <w:snapToGrid w:val="0"/>
              <w:spacing w:beforeLines="30" w:afterLines="30" w:line="276" w:lineRule="auto"/>
              <w:rPr>
                <w:b/>
                <w:bCs/>
                <w:sz w:val="22"/>
                <w:szCs w:val="20"/>
              </w:rPr>
            </w:pPr>
          </w:p>
        </w:tc>
        <w:tc>
          <w:tcPr>
            <w:tcW w:w="762" w:type="pct"/>
            <w:vMerge/>
            <w:vAlign w:val="center"/>
          </w:tcPr>
          <w:p w:rsidR="00A441C1" w:rsidRPr="004A1B26" w:rsidRDefault="00A441C1" w:rsidP="008B25E3">
            <w:pPr>
              <w:snapToGrid w:val="0"/>
              <w:spacing w:beforeLines="30" w:afterLines="30" w:line="276" w:lineRule="auto"/>
              <w:rPr>
                <w:b/>
                <w:bCs/>
                <w:sz w:val="22"/>
                <w:szCs w:val="20"/>
              </w:rPr>
            </w:pPr>
          </w:p>
        </w:tc>
        <w:tc>
          <w:tcPr>
            <w:tcW w:w="619" w:type="pct"/>
            <w:vMerge w:val="restart"/>
            <w:vAlign w:val="center"/>
          </w:tcPr>
          <w:p w:rsidR="00A441C1" w:rsidRPr="004A1B26" w:rsidRDefault="00A441C1" w:rsidP="008B25E3">
            <w:pPr>
              <w:snapToGrid w:val="0"/>
              <w:spacing w:beforeLines="30" w:afterLines="30" w:line="276" w:lineRule="auto"/>
              <w:rPr>
                <w:sz w:val="22"/>
                <w:szCs w:val="20"/>
              </w:rPr>
            </w:pPr>
            <w:r w:rsidRPr="004A1B26">
              <w:rPr>
                <w:sz w:val="22"/>
                <w:szCs w:val="20"/>
              </w:rPr>
              <w:t>USD</w:t>
            </w:r>
          </w:p>
        </w:tc>
        <w:tc>
          <w:tcPr>
            <w:tcW w:w="762"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Yes</w:t>
            </w:r>
          </w:p>
        </w:tc>
        <w:tc>
          <w:tcPr>
            <w:tcW w:w="1095"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1143" w:type="pct"/>
            <w:vAlign w:val="center"/>
          </w:tcPr>
          <w:p w:rsidR="00A441C1" w:rsidRPr="004A1B26" w:rsidRDefault="00A441C1" w:rsidP="008B25E3">
            <w:pPr>
              <w:spacing w:before="93" w:afterLines="100"/>
              <w:rPr>
                <w:sz w:val="22"/>
                <w:szCs w:val="20"/>
              </w:rPr>
            </w:pPr>
            <w:r w:rsidRPr="004A1B26">
              <w:rPr>
                <w:sz w:val="22"/>
                <w:szCs w:val="20"/>
              </w:rPr>
              <w:t>Yes,</w:t>
            </w:r>
            <w:r w:rsidRPr="004A1B26">
              <w:rPr>
                <w:rFonts w:hint="eastAsia"/>
                <w:sz w:val="22"/>
                <w:szCs w:val="20"/>
              </w:rPr>
              <w:t xml:space="preserve"> FX</w:t>
            </w:r>
            <w:r w:rsidRPr="004A1B26">
              <w:rPr>
                <w:sz w:val="22"/>
                <w:szCs w:val="20"/>
              </w:rPr>
              <w:t xml:space="preserve"> should be purchased </w:t>
            </w:r>
          </w:p>
        </w:tc>
      </w:tr>
      <w:tr w:rsidR="00A441C1" w:rsidRPr="00C67119" w:rsidTr="008B25E3">
        <w:tc>
          <w:tcPr>
            <w:tcW w:w="619" w:type="pct"/>
            <w:vMerge/>
            <w:vAlign w:val="center"/>
          </w:tcPr>
          <w:p w:rsidR="00A441C1" w:rsidRPr="004A1B26" w:rsidRDefault="00A441C1" w:rsidP="008B25E3">
            <w:pPr>
              <w:snapToGrid w:val="0"/>
              <w:spacing w:beforeLines="30" w:afterLines="30" w:line="276" w:lineRule="auto"/>
              <w:rPr>
                <w:b/>
                <w:bCs/>
                <w:sz w:val="22"/>
                <w:szCs w:val="20"/>
              </w:rPr>
            </w:pPr>
          </w:p>
        </w:tc>
        <w:tc>
          <w:tcPr>
            <w:tcW w:w="762" w:type="pct"/>
            <w:vMerge/>
            <w:vAlign w:val="center"/>
          </w:tcPr>
          <w:p w:rsidR="00A441C1" w:rsidRPr="004A1B26" w:rsidRDefault="00A441C1" w:rsidP="008B25E3">
            <w:pPr>
              <w:snapToGrid w:val="0"/>
              <w:spacing w:beforeLines="30" w:afterLines="30" w:line="276" w:lineRule="auto"/>
              <w:rPr>
                <w:b/>
                <w:bCs/>
                <w:sz w:val="22"/>
                <w:szCs w:val="20"/>
              </w:rPr>
            </w:pPr>
          </w:p>
        </w:tc>
        <w:tc>
          <w:tcPr>
            <w:tcW w:w="619" w:type="pct"/>
            <w:vMerge/>
            <w:vAlign w:val="center"/>
          </w:tcPr>
          <w:p w:rsidR="00A441C1" w:rsidRPr="004A1B26" w:rsidRDefault="00A441C1" w:rsidP="008B25E3">
            <w:pPr>
              <w:snapToGrid w:val="0"/>
              <w:spacing w:beforeLines="30" w:afterLines="30" w:line="276" w:lineRule="auto"/>
              <w:rPr>
                <w:b/>
                <w:bCs/>
                <w:sz w:val="22"/>
                <w:szCs w:val="20"/>
              </w:rPr>
            </w:pPr>
          </w:p>
        </w:tc>
        <w:tc>
          <w:tcPr>
            <w:tcW w:w="762" w:type="pct"/>
            <w:vMerge w:val="restart"/>
            <w:vAlign w:val="center"/>
          </w:tcPr>
          <w:p w:rsidR="00A441C1" w:rsidRPr="004A1B26" w:rsidRDefault="00A441C1" w:rsidP="008B25E3">
            <w:pPr>
              <w:snapToGrid w:val="0"/>
              <w:spacing w:beforeLines="30" w:afterLines="30" w:line="276" w:lineRule="auto"/>
              <w:rPr>
                <w:sz w:val="22"/>
                <w:szCs w:val="20"/>
              </w:rPr>
            </w:pPr>
            <w:r w:rsidRPr="004A1B26">
              <w:rPr>
                <w:sz w:val="22"/>
                <w:szCs w:val="20"/>
              </w:rPr>
              <w:t>No</w:t>
            </w:r>
          </w:p>
        </w:tc>
        <w:tc>
          <w:tcPr>
            <w:tcW w:w="1095"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Yes</w:t>
            </w:r>
          </w:p>
        </w:tc>
        <w:tc>
          <w:tcPr>
            <w:tcW w:w="1143" w:type="pct"/>
            <w:vAlign w:val="center"/>
          </w:tcPr>
          <w:p w:rsidR="00A441C1" w:rsidRPr="004A1B26" w:rsidRDefault="00A441C1" w:rsidP="008B25E3">
            <w:pPr>
              <w:spacing w:before="93" w:afterLines="100"/>
              <w:rPr>
                <w:b/>
                <w:bCs/>
                <w:sz w:val="22"/>
                <w:szCs w:val="20"/>
              </w:rPr>
            </w:pPr>
            <w:r w:rsidRPr="004A1B26">
              <w:rPr>
                <w:sz w:val="22"/>
                <w:szCs w:val="20"/>
              </w:rPr>
              <w:t>Yes,</w:t>
            </w:r>
            <w:r w:rsidRPr="004A1B26">
              <w:rPr>
                <w:rFonts w:hint="eastAsia"/>
                <w:sz w:val="22"/>
                <w:szCs w:val="20"/>
              </w:rPr>
              <w:t xml:space="preserve"> FX</w:t>
            </w:r>
            <w:r w:rsidRPr="004A1B26">
              <w:rPr>
                <w:sz w:val="22"/>
                <w:szCs w:val="20"/>
              </w:rPr>
              <w:t xml:space="preserve"> should be purchased</w:t>
            </w:r>
          </w:p>
        </w:tc>
      </w:tr>
      <w:tr w:rsidR="00A441C1" w:rsidRPr="00C67119" w:rsidTr="008B25E3">
        <w:tc>
          <w:tcPr>
            <w:tcW w:w="619" w:type="pct"/>
            <w:vMerge/>
            <w:vAlign w:val="center"/>
          </w:tcPr>
          <w:p w:rsidR="00A441C1" w:rsidRPr="004A1B26" w:rsidRDefault="00A441C1" w:rsidP="008B25E3">
            <w:pPr>
              <w:snapToGrid w:val="0"/>
              <w:spacing w:beforeLines="30" w:afterLines="30" w:line="276" w:lineRule="auto"/>
              <w:rPr>
                <w:b/>
                <w:bCs/>
                <w:sz w:val="22"/>
                <w:szCs w:val="20"/>
              </w:rPr>
            </w:pPr>
          </w:p>
        </w:tc>
        <w:tc>
          <w:tcPr>
            <w:tcW w:w="762" w:type="pct"/>
            <w:vMerge/>
            <w:vAlign w:val="center"/>
          </w:tcPr>
          <w:p w:rsidR="00A441C1" w:rsidRPr="004A1B26" w:rsidRDefault="00A441C1" w:rsidP="008B25E3">
            <w:pPr>
              <w:snapToGrid w:val="0"/>
              <w:spacing w:beforeLines="30" w:afterLines="30" w:line="276" w:lineRule="auto"/>
              <w:rPr>
                <w:b/>
                <w:bCs/>
                <w:sz w:val="22"/>
                <w:szCs w:val="20"/>
              </w:rPr>
            </w:pPr>
          </w:p>
        </w:tc>
        <w:tc>
          <w:tcPr>
            <w:tcW w:w="619" w:type="pct"/>
            <w:vMerge/>
            <w:vAlign w:val="center"/>
          </w:tcPr>
          <w:p w:rsidR="00A441C1" w:rsidRPr="004A1B26" w:rsidRDefault="00A441C1" w:rsidP="008B25E3">
            <w:pPr>
              <w:snapToGrid w:val="0"/>
              <w:spacing w:beforeLines="30" w:afterLines="30" w:line="276" w:lineRule="auto"/>
              <w:rPr>
                <w:b/>
                <w:bCs/>
                <w:sz w:val="22"/>
                <w:szCs w:val="20"/>
              </w:rPr>
            </w:pPr>
          </w:p>
        </w:tc>
        <w:tc>
          <w:tcPr>
            <w:tcW w:w="762" w:type="pct"/>
            <w:vMerge/>
            <w:vAlign w:val="center"/>
          </w:tcPr>
          <w:p w:rsidR="00A441C1" w:rsidRPr="004A1B26" w:rsidRDefault="00A441C1" w:rsidP="008B25E3">
            <w:pPr>
              <w:snapToGrid w:val="0"/>
              <w:spacing w:beforeLines="30" w:afterLines="30" w:line="276" w:lineRule="auto"/>
              <w:rPr>
                <w:b/>
                <w:bCs/>
                <w:sz w:val="22"/>
                <w:szCs w:val="20"/>
              </w:rPr>
            </w:pPr>
          </w:p>
        </w:tc>
        <w:tc>
          <w:tcPr>
            <w:tcW w:w="1095"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No</w:t>
            </w:r>
          </w:p>
        </w:tc>
        <w:tc>
          <w:tcPr>
            <w:tcW w:w="1143"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No</w:t>
            </w:r>
          </w:p>
        </w:tc>
      </w:tr>
      <w:tr w:rsidR="00A441C1" w:rsidRPr="00C67119" w:rsidTr="008B25E3">
        <w:tc>
          <w:tcPr>
            <w:tcW w:w="619" w:type="pct"/>
            <w:vMerge/>
            <w:vAlign w:val="center"/>
          </w:tcPr>
          <w:p w:rsidR="00A441C1" w:rsidRPr="004A1B26" w:rsidRDefault="00A441C1" w:rsidP="008B25E3">
            <w:pPr>
              <w:snapToGrid w:val="0"/>
              <w:spacing w:beforeLines="30" w:afterLines="30" w:line="276" w:lineRule="auto"/>
              <w:rPr>
                <w:b/>
                <w:bCs/>
                <w:sz w:val="22"/>
                <w:szCs w:val="20"/>
              </w:rPr>
            </w:pPr>
          </w:p>
        </w:tc>
        <w:tc>
          <w:tcPr>
            <w:tcW w:w="762"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&lt; 0</w:t>
            </w:r>
          </w:p>
        </w:tc>
        <w:tc>
          <w:tcPr>
            <w:tcW w:w="619"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762"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1095"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1143"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No</w:t>
            </w:r>
          </w:p>
        </w:tc>
      </w:tr>
      <w:tr w:rsidR="00A441C1" w:rsidRPr="00C67119" w:rsidTr="008B25E3">
        <w:tc>
          <w:tcPr>
            <w:tcW w:w="619"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&lt; 0</w:t>
            </w:r>
          </w:p>
        </w:tc>
        <w:tc>
          <w:tcPr>
            <w:tcW w:w="762"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619"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762"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1095" w:type="pct"/>
            <w:vAlign w:val="center"/>
          </w:tcPr>
          <w:p w:rsidR="00A441C1" w:rsidRPr="004A1B26" w:rsidRDefault="00A441C1" w:rsidP="008B25E3">
            <w:pPr>
              <w:snapToGrid w:val="0"/>
              <w:spacing w:beforeLines="30" w:afterLines="30" w:line="276" w:lineRule="auto"/>
              <w:rPr>
                <w:sz w:val="22"/>
                <w:szCs w:val="20"/>
              </w:rPr>
            </w:pPr>
            <w:r w:rsidRPr="004A1B26">
              <w:rPr>
                <w:sz w:val="22"/>
                <w:szCs w:val="20"/>
              </w:rPr>
              <w:t>—</w:t>
            </w:r>
          </w:p>
        </w:tc>
        <w:tc>
          <w:tcPr>
            <w:tcW w:w="1143" w:type="pct"/>
            <w:vAlign w:val="center"/>
          </w:tcPr>
          <w:p w:rsidR="00A441C1" w:rsidRPr="004A1B26" w:rsidRDefault="00A441C1" w:rsidP="008B25E3">
            <w:pPr>
              <w:spacing w:before="93" w:afterLines="100"/>
              <w:rPr>
                <w:sz w:val="22"/>
                <w:szCs w:val="20"/>
              </w:rPr>
            </w:pPr>
            <w:r w:rsidRPr="004A1B26">
              <w:rPr>
                <w:sz w:val="22"/>
                <w:szCs w:val="20"/>
              </w:rPr>
              <w:t>Yes,</w:t>
            </w:r>
            <w:r w:rsidRPr="004A1B26">
              <w:rPr>
                <w:rFonts w:hint="eastAsia"/>
                <w:sz w:val="22"/>
                <w:szCs w:val="20"/>
              </w:rPr>
              <w:t xml:space="preserve"> FX</w:t>
            </w:r>
            <w:r w:rsidRPr="004A1B26">
              <w:rPr>
                <w:sz w:val="22"/>
                <w:szCs w:val="20"/>
              </w:rPr>
              <w:t xml:space="preserve"> should be sold, or additional </w:t>
            </w:r>
            <w:r w:rsidRPr="004A1B26">
              <w:rPr>
                <w:sz w:val="22"/>
                <w:szCs w:val="20"/>
              </w:rPr>
              <w:lastRenderedPageBreak/>
              <w:t>RMB should be deposited to eliminate the shortfall</w:t>
            </w:r>
          </w:p>
        </w:tc>
      </w:tr>
    </w:tbl>
    <w:p w:rsidR="00A441C1" w:rsidRPr="00C67119" w:rsidRDefault="00A441C1" w:rsidP="00A441C1">
      <w:pPr>
        <w:snapToGrid w:val="0"/>
        <w:spacing w:beforeLines="50" w:afterLines="50" w:line="276" w:lineRule="auto"/>
        <w:rPr>
          <w:kern w:val="0"/>
          <w:sz w:val="28"/>
          <w:szCs w:val="22"/>
        </w:rPr>
      </w:pPr>
      <w:r w:rsidRPr="00C67119">
        <w:rPr>
          <w:kern w:val="0"/>
          <w:sz w:val="28"/>
          <w:szCs w:val="22"/>
        </w:rPr>
        <w:lastRenderedPageBreak/>
        <w:t>If the current day is a</w:t>
      </w:r>
      <w:r>
        <w:rPr>
          <w:rFonts w:hint="eastAsia"/>
          <w:kern w:val="0"/>
          <w:sz w:val="28"/>
          <w:szCs w:val="22"/>
        </w:rPr>
        <w:t xml:space="preserve"> </w:t>
      </w:r>
      <w:r w:rsidRPr="00C67119">
        <w:rPr>
          <w:kern w:val="0"/>
          <w:sz w:val="28"/>
          <w:szCs w:val="22"/>
        </w:rPr>
        <w:t>cut-off date</w:t>
      </w:r>
      <w:r>
        <w:rPr>
          <w:rFonts w:hint="eastAsia"/>
          <w:kern w:val="0"/>
          <w:sz w:val="28"/>
          <w:szCs w:val="22"/>
        </w:rPr>
        <w:t xml:space="preserve"> for FX conversion</w:t>
      </w:r>
      <w:r w:rsidRPr="00C67119">
        <w:rPr>
          <w:kern w:val="0"/>
          <w:sz w:val="28"/>
          <w:szCs w:val="22"/>
        </w:rPr>
        <w:t xml:space="preserve">, the member should complete </w:t>
      </w:r>
      <w:r>
        <w:rPr>
          <w:rFonts w:hint="eastAsia"/>
          <w:kern w:val="0"/>
          <w:sz w:val="28"/>
          <w:szCs w:val="22"/>
        </w:rPr>
        <w:t>FX conversion</w:t>
      </w:r>
      <w:r w:rsidRPr="00C67119">
        <w:rPr>
          <w:kern w:val="0"/>
          <w:sz w:val="28"/>
          <w:szCs w:val="22"/>
        </w:rPr>
        <w:t>, according to the current day’s</w:t>
      </w:r>
      <w:r>
        <w:rPr>
          <w:rFonts w:hint="eastAsia"/>
          <w:kern w:val="0"/>
          <w:sz w:val="28"/>
          <w:szCs w:val="22"/>
        </w:rPr>
        <w:t xml:space="preserve"> eligible amount for conversion </w:t>
      </w:r>
      <w:r w:rsidRPr="00C67119">
        <w:rPr>
          <w:kern w:val="0"/>
          <w:sz w:val="28"/>
          <w:szCs w:val="22"/>
        </w:rPr>
        <w:t xml:space="preserve">as calculated by the system, through a designated </w:t>
      </w:r>
      <w:r w:rsidRPr="00C67119">
        <w:rPr>
          <w:rFonts w:hint="eastAsia"/>
          <w:kern w:val="0"/>
          <w:sz w:val="28"/>
          <w:szCs w:val="22"/>
        </w:rPr>
        <w:t>d</w:t>
      </w:r>
      <w:r w:rsidRPr="00C67119">
        <w:rPr>
          <w:kern w:val="0"/>
          <w:sz w:val="28"/>
          <w:szCs w:val="22"/>
        </w:rPr>
        <w:t>epository bank before 3:00 p.m. on the next trading day.</w:t>
      </w:r>
      <w:r>
        <w:rPr>
          <w:rFonts w:hint="eastAsia"/>
          <w:kern w:val="0"/>
          <w:sz w:val="28"/>
          <w:szCs w:val="22"/>
        </w:rPr>
        <w:t xml:space="preserve"> </w:t>
      </w:r>
      <w:r w:rsidRPr="00C67119">
        <w:rPr>
          <w:kern w:val="0"/>
          <w:sz w:val="28"/>
          <w:szCs w:val="22"/>
        </w:rPr>
        <w:t>The cumulative net profit or loss will be reset to zero and accrued daily starting from the next trading day.</w:t>
      </w:r>
    </w:p>
    <w:p w:rsidR="00A441C1" w:rsidRDefault="00A441C1" w:rsidP="00A441C1">
      <w:pPr>
        <w:snapToGrid w:val="0"/>
        <w:spacing w:afterLines="100" w:line="276" w:lineRule="auto"/>
        <w:rPr>
          <w:kern w:val="0"/>
          <w:sz w:val="28"/>
          <w:szCs w:val="22"/>
        </w:rPr>
      </w:pPr>
      <w:r w:rsidRPr="00C67119">
        <w:rPr>
          <w:kern w:val="0"/>
          <w:sz w:val="28"/>
          <w:szCs w:val="22"/>
        </w:rPr>
        <w:t>If the current day is not a cut-off date</w:t>
      </w:r>
      <w:r>
        <w:rPr>
          <w:rFonts w:hint="eastAsia"/>
          <w:kern w:val="0"/>
          <w:sz w:val="28"/>
          <w:szCs w:val="22"/>
        </w:rPr>
        <w:t xml:space="preserve"> for FX conversion</w:t>
      </w:r>
      <w:r w:rsidRPr="00C67119">
        <w:rPr>
          <w:kern w:val="0"/>
          <w:sz w:val="28"/>
          <w:szCs w:val="22"/>
        </w:rPr>
        <w:t xml:space="preserve">, and the </w:t>
      </w:r>
      <w:r>
        <w:rPr>
          <w:rFonts w:hint="eastAsia"/>
          <w:kern w:val="0"/>
          <w:sz w:val="28"/>
          <w:szCs w:val="22"/>
        </w:rPr>
        <w:t xml:space="preserve">eligible amount for conversion </w:t>
      </w:r>
      <w:r w:rsidRPr="00C67119">
        <w:rPr>
          <w:kern w:val="0"/>
          <w:sz w:val="28"/>
          <w:szCs w:val="22"/>
        </w:rPr>
        <w:t xml:space="preserve">is </w:t>
      </w:r>
      <w:r>
        <w:rPr>
          <w:rFonts w:hint="eastAsia"/>
          <w:kern w:val="0"/>
          <w:sz w:val="28"/>
          <w:szCs w:val="22"/>
        </w:rPr>
        <w:t>above</w:t>
      </w:r>
      <w:r w:rsidRPr="00C67119">
        <w:rPr>
          <w:kern w:val="0"/>
          <w:sz w:val="28"/>
          <w:szCs w:val="22"/>
        </w:rPr>
        <w:t xml:space="preserve"> zero,</w:t>
      </w:r>
      <w:r>
        <w:rPr>
          <w:rFonts w:hint="eastAsia"/>
          <w:kern w:val="0"/>
          <w:sz w:val="28"/>
          <w:szCs w:val="22"/>
        </w:rPr>
        <w:t xml:space="preserve"> </w:t>
      </w:r>
      <w:r w:rsidRPr="00C67119">
        <w:rPr>
          <w:kern w:val="0"/>
          <w:sz w:val="28"/>
          <w:szCs w:val="22"/>
        </w:rPr>
        <w:t>before 11:30 a.m. on the next trading day (including the night trading session of the current day), the</w:t>
      </w:r>
      <w:r>
        <w:rPr>
          <w:rFonts w:hint="eastAsia"/>
          <w:kern w:val="0"/>
          <w:sz w:val="28"/>
          <w:szCs w:val="22"/>
        </w:rPr>
        <w:t xml:space="preserve"> </w:t>
      </w:r>
      <w:r w:rsidRPr="00C67119">
        <w:rPr>
          <w:kern w:val="0"/>
          <w:sz w:val="28"/>
          <w:szCs w:val="22"/>
        </w:rPr>
        <w:t xml:space="preserve">overseas client or overseas broker who has chosen USD as the profit currency may apply to its member for purchase of </w:t>
      </w:r>
      <w:r>
        <w:rPr>
          <w:rFonts w:hint="eastAsia"/>
          <w:kern w:val="0"/>
          <w:sz w:val="28"/>
          <w:szCs w:val="22"/>
        </w:rPr>
        <w:t>FX</w:t>
      </w:r>
      <w:r w:rsidRPr="00C67119">
        <w:rPr>
          <w:kern w:val="0"/>
          <w:sz w:val="28"/>
          <w:szCs w:val="22"/>
        </w:rPr>
        <w:t xml:space="preserve">, subject to the </w:t>
      </w:r>
      <w:r>
        <w:rPr>
          <w:rFonts w:hint="eastAsia"/>
          <w:kern w:val="0"/>
          <w:sz w:val="28"/>
          <w:szCs w:val="22"/>
        </w:rPr>
        <w:t>eligible amount for conversion</w:t>
      </w:r>
      <w:r w:rsidRPr="00C67119">
        <w:rPr>
          <w:kern w:val="0"/>
          <w:sz w:val="28"/>
          <w:szCs w:val="22"/>
        </w:rPr>
        <w:t>, and the</w:t>
      </w:r>
      <w:r>
        <w:rPr>
          <w:rFonts w:hint="eastAsia"/>
          <w:kern w:val="0"/>
          <w:sz w:val="28"/>
          <w:szCs w:val="22"/>
        </w:rPr>
        <w:t xml:space="preserve"> </w:t>
      </w:r>
      <w:r w:rsidRPr="00C67119">
        <w:rPr>
          <w:rFonts w:hint="eastAsia"/>
          <w:kern w:val="0"/>
          <w:sz w:val="28"/>
          <w:szCs w:val="22"/>
        </w:rPr>
        <w:t>m</w:t>
      </w:r>
      <w:r w:rsidRPr="00C67119">
        <w:rPr>
          <w:kern w:val="0"/>
          <w:sz w:val="28"/>
          <w:szCs w:val="22"/>
        </w:rPr>
        <w:t>ember should complete the purchase through a designated depository bank before 3:00 p.m. on the next trading day.</w:t>
      </w:r>
    </w:p>
    <w:p w:rsidR="00A441C1" w:rsidRDefault="00A441C1" w:rsidP="00A441C1">
      <w:pPr>
        <w:snapToGrid w:val="0"/>
        <w:spacing w:afterLines="100" w:line="276" w:lineRule="auto"/>
        <w:rPr>
          <w:kern w:val="0"/>
          <w:sz w:val="28"/>
          <w:szCs w:val="22"/>
        </w:rPr>
      </w:pPr>
      <w:r w:rsidRPr="00C67119">
        <w:rPr>
          <w:kern w:val="0"/>
          <w:sz w:val="28"/>
          <w:szCs w:val="22"/>
        </w:rPr>
        <w:t>If the current day is not a cut-off date</w:t>
      </w:r>
      <w:r>
        <w:rPr>
          <w:rFonts w:hint="eastAsia"/>
          <w:kern w:val="0"/>
          <w:sz w:val="28"/>
          <w:szCs w:val="22"/>
        </w:rPr>
        <w:t xml:space="preserve"> for FX conversion</w:t>
      </w:r>
      <w:r w:rsidRPr="00C67119">
        <w:rPr>
          <w:kern w:val="0"/>
          <w:sz w:val="28"/>
          <w:szCs w:val="22"/>
        </w:rPr>
        <w:t xml:space="preserve">, and the </w:t>
      </w:r>
      <w:r>
        <w:rPr>
          <w:rFonts w:hint="eastAsia"/>
          <w:kern w:val="0"/>
          <w:sz w:val="28"/>
          <w:szCs w:val="22"/>
        </w:rPr>
        <w:t>eligible amount for conversion</w:t>
      </w:r>
      <w:r w:rsidRPr="00C67119">
        <w:rPr>
          <w:kern w:val="0"/>
          <w:sz w:val="28"/>
          <w:szCs w:val="22"/>
        </w:rPr>
        <w:t xml:space="preserve"> is less than zero (</w:t>
      </w:r>
      <w:r w:rsidRPr="00C67119">
        <w:rPr>
          <w:rFonts w:hint="eastAsia"/>
          <w:kern w:val="0"/>
          <w:sz w:val="28"/>
          <w:szCs w:val="22"/>
        </w:rPr>
        <w:t>the</w:t>
      </w:r>
      <w:r w:rsidRPr="00C67119">
        <w:rPr>
          <w:kern w:val="0"/>
          <w:sz w:val="28"/>
          <w:szCs w:val="22"/>
        </w:rPr>
        <w:t xml:space="preserve"> RMB balance is</w:t>
      </w:r>
      <w:r>
        <w:rPr>
          <w:rFonts w:hint="eastAsia"/>
          <w:kern w:val="0"/>
          <w:sz w:val="28"/>
          <w:szCs w:val="22"/>
        </w:rPr>
        <w:t xml:space="preserve"> </w:t>
      </w:r>
      <w:r w:rsidRPr="00C67119">
        <w:rPr>
          <w:kern w:val="0"/>
          <w:sz w:val="28"/>
          <w:szCs w:val="22"/>
        </w:rPr>
        <w:t>negative), the</w:t>
      </w:r>
      <w:r>
        <w:rPr>
          <w:rFonts w:hint="eastAsia"/>
          <w:kern w:val="0"/>
          <w:sz w:val="28"/>
          <w:szCs w:val="22"/>
        </w:rPr>
        <w:t xml:space="preserve"> </w:t>
      </w:r>
      <w:r w:rsidRPr="00C67119">
        <w:rPr>
          <w:kern w:val="0"/>
          <w:sz w:val="28"/>
          <w:szCs w:val="22"/>
        </w:rPr>
        <w:t>member may require the</w:t>
      </w:r>
      <w:r>
        <w:rPr>
          <w:rFonts w:hint="eastAsia"/>
          <w:kern w:val="0"/>
          <w:sz w:val="28"/>
          <w:szCs w:val="22"/>
        </w:rPr>
        <w:t xml:space="preserve"> </w:t>
      </w:r>
      <w:r w:rsidRPr="00C67119">
        <w:rPr>
          <w:kern w:val="0"/>
          <w:sz w:val="28"/>
          <w:szCs w:val="22"/>
        </w:rPr>
        <w:t>overseas client and overseas broker to deposit additional RMB funds, or complete the s</w:t>
      </w:r>
      <w:r>
        <w:rPr>
          <w:rFonts w:hint="eastAsia"/>
          <w:kern w:val="0"/>
          <w:sz w:val="28"/>
          <w:szCs w:val="22"/>
        </w:rPr>
        <w:t>ettlement</w:t>
      </w:r>
      <w:r w:rsidRPr="00C67119">
        <w:rPr>
          <w:kern w:val="0"/>
          <w:sz w:val="28"/>
          <w:szCs w:val="22"/>
        </w:rPr>
        <w:t xml:space="preserve"> of </w:t>
      </w:r>
      <w:r>
        <w:rPr>
          <w:rFonts w:hint="eastAsia"/>
          <w:kern w:val="0"/>
          <w:sz w:val="28"/>
          <w:szCs w:val="22"/>
        </w:rPr>
        <w:t>FX</w:t>
      </w:r>
      <w:r w:rsidRPr="00C67119">
        <w:rPr>
          <w:kern w:val="0"/>
          <w:sz w:val="28"/>
          <w:szCs w:val="22"/>
        </w:rPr>
        <w:t xml:space="preserve"> on its behalf before 3:00 p.m. on the next trading day to </w:t>
      </w:r>
      <w:r w:rsidRPr="0085491C">
        <w:rPr>
          <w:kern w:val="0"/>
          <w:sz w:val="28"/>
          <w:szCs w:val="22"/>
        </w:rPr>
        <w:t>eliminate the shortfall.</w:t>
      </w:r>
    </w:p>
    <w:p w:rsidR="00A441C1" w:rsidRDefault="00A441C1" w:rsidP="00A441C1">
      <w:pPr>
        <w:pStyle w:val="a5"/>
        <w:kinsoku w:val="0"/>
        <w:overflowPunct w:val="0"/>
        <w:snapToGrid w:val="0"/>
        <w:spacing w:afterLines="100" w:line="276" w:lineRule="auto"/>
        <w:ind w:left="0"/>
        <w:jc w:val="both"/>
        <w:rPr>
          <w:sz w:val="28"/>
          <w:szCs w:val="22"/>
        </w:rPr>
      </w:pPr>
      <w:r>
        <w:rPr>
          <w:sz w:val="28"/>
          <w:szCs w:val="22"/>
        </w:rPr>
        <w:t xml:space="preserve">Members may find </w:t>
      </w:r>
      <w:r w:rsidRPr="0085491C">
        <w:rPr>
          <w:sz w:val="28"/>
          <w:szCs w:val="22"/>
        </w:rPr>
        <w:t>real-time quote on exchange rates</w:t>
      </w:r>
      <w:r>
        <w:rPr>
          <w:sz w:val="28"/>
          <w:szCs w:val="22"/>
        </w:rPr>
        <w:t xml:space="preserve"> through the bank-futures </w:t>
      </w:r>
      <w:r w:rsidRPr="0085491C">
        <w:rPr>
          <w:sz w:val="28"/>
          <w:szCs w:val="22"/>
        </w:rPr>
        <w:t xml:space="preserve">FX portal </w:t>
      </w:r>
      <w:r>
        <w:rPr>
          <w:sz w:val="28"/>
          <w:szCs w:val="22"/>
        </w:rPr>
        <w:t>of depository banks. Based on the available balance in their special margin accounts and other factors, members may choose a designated depository bank and submit a</w:t>
      </w:r>
      <w:bookmarkStart w:id="5" w:name="OLE_LINK6"/>
      <w:r>
        <w:rPr>
          <w:sz w:val="28"/>
          <w:szCs w:val="22"/>
        </w:rPr>
        <w:t xml:space="preserve"> </w:t>
      </w:r>
      <w:r w:rsidRPr="0085491C">
        <w:rPr>
          <w:sz w:val="28"/>
          <w:szCs w:val="22"/>
        </w:rPr>
        <w:t>bank-futures FX conversion request.</w:t>
      </w:r>
      <w:bookmarkEnd w:id="5"/>
      <w:r>
        <w:rPr>
          <w:sz w:val="28"/>
          <w:szCs w:val="22"/>
        </w:rPr>
        <w:t xml:space="preserve"> Such requests are classified into FX </w:t>
      </w:r>
      <w:r w:rsidRPr="0085491C">
        <w:rPr>
          <w:sz w:val="28"/>
          <w:szCs w:val="22"/>
        </w:rPr>
        <w:t xml:space="preserve">purchase requests and </w:t>
      </w:r>
      <w:r>
        <w:rPr>
          <w:sz w:val="28"/>
          <w:szCs w:val="22"/>
        </w:rPr>
        <w:t xml:space="preserve">FX </w:t>
      </w:r>
      <w:r w:rsidRPr="0085491C">
        <w:rPr>
          <w:sz w:val="28"/>
          <w:szCs w:val="22"/>
        </w:rPr>
        <w:t>settlement requests</w:t>
      </w:r>
      <w:r>
        <w:rPr>
          <w:sz w:val="28"/>
          <w:szCs w:val="22"/>
        </w:rPr>
        <w:t>, based on the direction of the FX conversion. Each request may contain the FX conversion inf</w:t>
      </w:r>
      <w:r w:rsidRPr="00C67119">
        <w:rPr>
          <w:sz w:val="28"/>
          <w:szCs w:val="22"/>
        </w:rPr>
        <w:t>ormation for one or more overseas clients and overseas brokers.</w:t>
      </w:r>
      <w:r>
        <w:rPr>
          <w:rFonts w:hint="eastAsia"/>
          <w:sz w:val="28"/>
          <w:szCs w:val="22"/>
        </w:rPr>
        <w:t xml:space="preserve"> </w:t>
      </w:r>
      <w:r w:rsidRPr="00C67119">
        <w:rPr>
          <w:sz w:val="28"/>
          <w:szCs w:val="22"/>
        </w:rPr>
        <w:t>The requests</w:t>
      </w:r>
      <w:r>
        <w:rPr>
          <w:rFonts w:hint="eastAsia"/>
          <w:sz w:val="28"/>
          <w:szCs w:val="22"/>
        </w:rPr>
        <w:t xml:space="preserve"> </w:t>
      </w:r>
      <w:r w:rsidRPr="00C67119">
        <w:rPr>
          <w:sz w:val="28"/>
          <w:szCs w:val="22"/>
        </w:rPr>
        <w:t>for overseas individual clients</w:t>
      </w:r>
      <w:r>
        <w:rPr>
          <w:rFonts w:hint="eastAsia"/>
          <w:sz w:val="28"/>
          <w:szCs w:val="22"/>
        </w:rPr>
        <w:t xml:space="preserve"> </w:t>
      </w:r>
      <w:r w:rsidRPr="00C67119">
        <w:rPr>
          <w:sz w:val="28"/>
          <w:szCs w:val="22"/>
        </w:rPr>
        <w:t xml:space="preserve">and overseas institutional clients should be </w:t>
      </w:r>
      <w:r>
        <w:rPr>
          <w:rFonts w:hint="eastAsia"/>
          <w:sz w:val="28"/>
          <w:szCs w:val="22"/>
        </w:rPr>
        <w:t xml:space="preserve">submitted </w:t>
      </w:r>
      <w:r w:rsidRPr="00C67119">
        <w:rPr>
          <w:sz w:val="28"/>
          <w:szCs w:val="22"/>
        </w:rPr>
        <w:t>separate</w:t>
      </w:r>
      <w:r>
        <w:rPr>
          <w:rFonts w:hint="eastAsia"/>
          <w:sz w:val="28"/>
          <w:szCs w:val="22"/>
        </w:rPr>
        <w:t>ly</w:t>
      </w:r>
      <w:r w:rsidRPr="00C67119">
        <w:rPr>
          <w:sz w:val="28"/>
          <w:szCs w:val="22"/>
        </w:rPr>
        <w:t>.</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The deadline for reporting </w:t>
      </w:r>
      <w:r>
        <w:rPr>
          <w:rFonts w:hint="eastAsia"/>
          <w:sz w:val="28"/>
          <w:szCs w:val="22"/>
        </w:rPr>
        <w:t>FX conversion</w:t>
      </w:r>
      <w:r w:rsidRPr="00C67119">
        <w:rPr>
          <w:sz w:val="28"/>
          <w:szCs w:val="22"/>
        </w:rPr>
        <w:t xml:space="preserve"> data to the </w:t>
      </w:r>
      <w:r w:rsidRPr="0085491C">
        <w:rPr>
          <w:sz w:val="28"/>
          <w:szCs w:val="22"/>
        </w:rPr>
        <w:t xml:space="preserve">China Futures </w:t>
      </w:r>
      <w:r w:rsidRPr="0085491C">
        <w:rPr>
          <w:sz w:val="28"/>
          <w:szCs w:val="22"/>
        </w:rPr>
        <w:lastRenderedPageBreak/>
        <w:t>Market Monitoring Center (CFMMC)</w:t>
      </w:r>
      <w:r w:rsidRPr="00C67119">
        <w:rPr>
          <w:sz w:val="28"/>
          <w:szCs w:val="22"/>
        </w:rPr>
        <w:t xml:space="preserve"> is 5:00 p.m. every trading day. Data for </w:t>
      </w:r>
      <w:r>
        <w:rPr>
          <w:rFonts w:hint="eastAsia"/>
          <w:sz w:val="28"/>
          <w:szCs w:val="22"/>
        </w:rPr>
        <w:t>FX conversion</w:t>
      </w:r>
      <w:r w:rsidRPr="00C67119">
        <w:rPr>
          <w:sz w:val="28"/>
          <w:szCs w:val="22"/>
        </w:rPr>
        <w:t xml:space="preserve"> completed by designated depository banks before 5:00 p.m. should be submitted to the CFMMC on the same day; those for </w:t>
      </w:r>
      <w:r>
        <w:rPr>
          <w:rFonts w:hint="eastAsia"/>
          <w:sz w:val="28"/>
          <w:szCs w:val="22"/>
        </w:rPr>
        <w:t>FX conversion</w:t>
      </w:r>
      <w:r w:rsidRPr="00C67119">
        <w:rPr>
          <w:sz w:val="28"/>
          <w:szCs w:val="22"/>
        </w:rPr>
        <w:t xml:space="preserve"> completed after 5:00 p.m. should be submitted on the next trading day.</w:t>
      </w:r>
    </w:p>
    <w:p w:rsidR="00A441C1" w:rsidRDefault="00A441C1" w:rsidP="00A441C1">
      <w:pPr>
        <w:snapToGrid w:val="0"/>
        <w:spacing w:afterLines="100" w:line="276" w:lineRule="auto"/>
        <w:rPr>
          <w:kern w:val="0"/>
          <w:sz w:val="28"/>
          <w:szCs w:val="22"/>
        </w:rPr>
      </w:pPr>
      <w:r w:rsidRPr="00C67119">
        <w:rPr>
          <w:kern w:val="0"/>
          <w:sz w:val="28"/>
          <w:szCs w:val="22"/>
        </w:rPr>
        <w:t xml:space="preserve">To meet the business verification and compliance requirements of designated depository banks, members should timely provide the banks with the </w:t>
      </w:r>
      <w:r w:rsidRPr="0085491C">
        <w:rPr>
          <w:kern w:val="0"/>
          <w:sz w:val="28"/>
          <w:szCs w:val="22"/>
        </w:rPr>
        <w:t xml:space="preserve">required </w:t>
      </w:r>
      <w:r>
        <w:rPr>
          <w:rFonts w:hint="eastAsia"/>
          <w:kern w:val="0"/>
          <w:sz w:val="28"/>
          <w:szCs w:val="22"/>
        </w:rPr>
        <w:t>documents</w:t>
      </w:r>
      <w:r w:rsidRPr="00C67119">
        <w:rPr>
          <w:kern w:val="0"/>
          <w:sz w:val="28"/>
          <w:szCs w:val="22"/>
        </w:rPr>
        <w:t xml:space="preserve"> for</w:t>
      </w:r>
      <w:r>
        <w:rPr>
          <w:rFonts w:hint="eastAsia"/>
          <w:kern w:val="0"/>
          <w:sz w:val="28"/>
          <w:szCs w:val="22"/>
        </w:rPr>
        <w:t xml:space="preserve"> FX</w:t>
      </w:r>
      <w:r w:rsidRPr="00C67119">
        <w:rPr>
          <w:kern w:val="0"/>
          <w:sz w:val="28"/>
          <w:szCs w:val="22"/>
        </w:rPr>
        <w:t xml:space="preserve"> </w:t>
      </w:r>
      <w:r>
        <w:rPr>
          <w:kern w:val="0"/>
          <w:sz w:val="28"/>
          <w:szCs w:val="22"/>
        </w:rPr>
        <w:t>settlement and purchase</w:t>
      </w:r>
      <w:r w:rsidRPr="00C67119">
        <w:rPr>
          <w:kern w:val="0"/>
          <w:sz w:val="28"/>
          <w:szCs w:val="22"/>
        </w:rPr>
        <w:t xml:space="preserve">. </w:t>
      </w:r>
    </w:p>
    <w:p w:rsidR="00A441C1" w:rsidRDefault="00A441C1" w:rsidP="00A441C1">
      <w:pPr>
        <w:tabs>
          <w:tab w:val="left" w:pos="426"/>
        </w:tabs>
        <w:snapToGrid w:val="0"/>
        <w:spacing w:afterLines="100" w:line="276" w:lineRule="auto"/>
        <w:rPr>
          <w:b/>
          <w:sz w:val="28"/>
          <w:szCs w:val="22"/>
        </w:rPr>
      </w:pPr>
      <w:r w:rsidRPr="00C67119">
        <w:rPr>
          <w:b/>
          <w:sz w:val="28"/>
          <w:szCs w:val="22"/>
        </w:rPr>
        <w:t>IV.</w:t>
      </w:r>
      <w:r w:rsidRPr="00C67119">
        <w:rPr>
          <w:b/>
          <w:sz w:val="28"/>
          <w:szCs w:val="22"/>
        </w:rPr>
        <w:tab/>
      </w:r>
      <w:r>
        <w:rPr>
          <w:rFonts w:hint="eastAsia"/>
          <w:b/>
          <w:sz w:val="28"/>
          <w:szCs w:val="22"/>
        </w:rPr>
        <w:t>FX Conversion</w:t>
      </w:r>
      <w:r w:rsidRPr="00C67119">
        <w:rPr>
          <w:b/>
          <w:sz w:val="28"/>
          <w:szCs w:val="22"/>
        </w:rPr>
        <w:t xml:space="preserve"> for Delivery Payment</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Pursuant to Huifa [2015] No. 35 and the related policy FAQs, delivery payments</w:t>
      </w:r>
      <w:r>
        <w:rPr>
          <w:rFonts w:hint="eastAsia"/>
          <w:sz w:val="28"/>
          <w:szCs w:val="22"/>
        </w:rPr>
        <w:t xml:space="preserve"> </w:t>
      </w:r>
      <w:r w:rsidRPr="00C67119">
        <w:rPr>
          <w:sz w:val="28"/>
          <w:szCs w:val="22"/>
        </w:rPr>
        <w:t>for SDFPs include delivery payments arising from rolling deliveries, centralized deliveries, EFPs involving warehouse receipts, and transfers of warehouse receipts that are settled through the Exchange.</w:t>
      </w:r>
    </w:p>
    <w:p w:rsidR="00A441C1" w:rsidRDefault="00A441C1" w:rsidP="00A441C1">
      <w:pPr>
        <w:tabs>
          <w:tab w:val="left" w:pos="567"/>
        </w:tabs>
        <w:snapToGrid w:val="0"/>
        <w:spacing w:afterLines="100" w:line="276" w:lineRule="auto"/>
        <w:rPr>
          <w:b/>
          <w:sz w:val="28"/>
          <w:szCs w:val="22"/>
        </w:rPr>
      </w:pPr>
      <w:r w:rsidRPr="00C67119">
        <w:rPr>
          <w:b/>
          <w:sz w:val="28"/>
          <w:szCs w:val="22"/>
        </w:rPr>
        <w:t>(1)</w:t>
      </w:r>
      <w:r w:rsidRPr="00C67119">
        <w:rPr>
          <w:b/>
          <w:sz w:val="28"/>
          <w:szCs w:val="22"/>
        </w:rPr>
        <w:tab/>
      </w:r>
      <w:r>
        <w:rPr>
          <w:rFonts w:hint="eastAsia"/>
          <w:b/>
          <w:sz w:val="28"/>
          <w:szCs w:val="22"/>
        </w:rPr>
        <w:t>FX s</w:t>
      </w:r>
      <w:r w:rsidRPr="00C67119">
        <w:rPr>
          <w:b/>
          <w:sz w:val="28"/>
          <w:szCs w:val="22"/>
        </w:rPr>
        <w:t>ettlement</w:t>
      </w:r>
      <w:r>
        <w:rPr>
          <w:rFonts w:hint="eastAsia"/>
          <w:b/>
          <w:sz w:val="28"/>
          <w:szCs w:val="22"/>
        </w:rPr>
        <w:t xml:space="preserve"> for</w:t>
      </w:r>
      <w:r w:rsidRPr="00C67119">
        <w:rPr>
          <w:b/>
          <w:sz w:val="28"/>
          <w:szCs w:val="22"/>
        </w:rPr>
        <w:t xml:space="preserve"> the buyer in delivery</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Where the buyer in a delivery is</w:t>
      </w:r>
      <w:r>
        <w:rPr>
          <w:rFonts w:hint="eastAsia"/>
          <w:sz w:val="28"/>
          <w:szCs w:val="22"/>
        </w:rPr>
        <w:t xml:space="preserve"> </w:t>
      </w:r>
      <w:r w:rsidRPr="00C67119">
        <w:rPr>
          <w:sz w:val="28"/>
          <w:szCs w:val="22"/>
        </w:rPr>
        <w:t>an overseas institution, it may</w:t>
      </w:r>
      <w:r>
        <w:rPr>
          <w:rFonts w:hint="eastAsia"/>
          <w:sz w:val="28"/>
          <w:szCs w:val="22"/>
        </w:rPr>
        <w:t xml:space="preserve"> </w:t>
      </w:r>
      <w:r w:rsidRPr="00C67119">
        <w:rPr>
          <w:sz w:val="28"/>
          <w:szCs w:val="22"/>
        </w:rPr>
        <w:t>transfer</w:t>
      </w:r>
      <w:r>
        <w:rPr>
          <w:rFonts w:hint="eastAsia"/>
          <w:sz w:val="28"/>
          <w:szCs w:val="22"/>
        </w:rPr>
        <w:t xml:space="preserve"> </w:t>
      </w:r>
      <w:r w:rsidRPr="00C67119">
        <w:rPr>
          <w:sz w:val="28"/>
          <w:szCs w:val="22"/>
        </w:rPr>
        <w:t xml:space="preserve">the delivery payment to its carrying member in USD. </w:t>
      </w:r>
      <w:r w:rsidRPr="00802E78">
        <w:rPr>
          <w:sz w:val="28"/>
          <w:szCs w:val="22"/>
        </w:rPr>
        <w:t xml:space="preserve">The member will then convert the payment into RMB through a designated depository bank and </w:t>
      </w:r>
      <w:r w:rsidRPr="0085491C">
        <w:rPr>
          <w:sz w:val="28"/>
          <w:szCs w:val="22"/>
        </w:rPr>
        <w:t>send</w:t>
      </w:r>
      <w:r w:rsidRPr="00802E78">
        <w:rPr>
          <w:sz w:val="28"/>
          <w:szCs w:val="22"/>
        </w:rPr>
        <w:t xml:space="preserve"> the delivery payment</w:t>
      </w:r>
      <w:r w:rsidRPr="0085491C">
        <w:rPr>
          <w:sz w:val="28"/>
          <w:szCs w:val="22"/>
        </w:rPr>
        <w:t xml:space="preserve"> to the Exchange in RMB</w:t>
      </w:r>
      <w:r w:rsidRPr="00802E78">
        <w:rPr>
          <w:sz w:val="28"/>
          <w:szCs w:val="22"/>
        </w:rPr>
        <w:t>.</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An overseas institution may determine the amount of </w:t>
      </w:r>
      <w:r>
        <w:rPr>
          <w:rFonts w:hint="eastAsia"/>
          <w:sz w:val="28"/>
          <w:szCs w:val="22"/>
        </w:rPr>
        <w:t xml:space="preserve">FX </w:t>
      </w:r>
      <w:r w:rsidRPr="00C67119">
        <w:rPr>
          <w:sz w:val="28"/>
          <w:szCs w:val="22"/>
        </w:rPr>
        <w:t xml:space="preserve">that needs to be converted into RMB based on its available RMB funds. The amount involved in the </w:t>
      </w:r>
      <w:r>
        <w:rPr>
          <w:rFonts w:hint="eastAsia"/>
          <w:sz w:val="28"/>
          <w:szCs w:val="22"/>
        </w:rPr>
        <w:t xml:space="preserve">FX </w:t>
      </w:r>
      <w:r w:rsidRPr="00C67119">
        <w:rPr>
          <w:sz w:val="28"/>
          <w:szCs w:val="22"/>
        </w:rPr>
        <w:t>settlement may be less than or equal to, but no greater than, the amount of delivery payment.</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The</w:t>
      </w:r>
      <w:r>
        <w:rPr>
          <w:rFonts w:hint="eastAsia"/>
          <w:sz w:val="28"/>
          <w:szCs w:val="22"/>
        </w:rPr>
        <w:t xml:space="preserve"> </w:t>
      </w:r>
      <w:r w:rsidRPr="00C67119">
        <w:rPr>
          <w:sz w:val="28"/>
          <w:szCs w:val="22"/>
        </w:rPr>
        <w:t xml:space="preserve">buyer’s carrying member should complete the </w:t>
      </w:r>
      <w:r>
        <w:rPr>
          <w:rFonts w:hint="eastAsia"/>
          <w:sz w:val="28"/>
          <w:szCs w:val="22"/>
        </w:rPr>
        <w:t>FX conversion</w:t>
      </w:r>
      <w:r w:rsidRPr="00C67119">
        <w:rPr>
          <w:sz w:val="28"/>
          <w:szCs w:val="22"/>
        </w:rPr>
        <w:t xml:space="preserve"> and transfer the delivery payment to the Exchange before 9:00 a.m. on the</w:t>
      </w:r>
      <w:r>
        <w:rPr>
          <w:rFonts w:hint="eastAsia"/>
          <w:sz w:val="28"/>
          <w:szCs w:val="22"/>
        </w:rPr>
        <w:t xml:space="preserve"> </w:t>
      </w:r>
      <w:r w:rsidRPr="00C67119">
        <w:rPr>
          <w:rFonts w:hint="eastAsia"/>
          <w:sz w:val="28"/>
          <w:szCs w:val="22"/>
        </w:rPr>
        <w:t>third</w:t>
      </w:r>
      <w:r w:rsidRPr="00C67119">
        <w:rPr>
          <w:sz w:val="28"/>
          <w:szCs w:val="22"/>
        </w:rPr>
        <w:t xml:space="preserve"> delivery day.</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The buyer’s carrying member should complete the </w:t>
      </w:r>
      <w:r>
        <w:rPr>
          <w:rFonts w:hint="eastAsia"/>
          <w:sz w:val="28"/>
          <w:szCs w:val="22"/>
        </w:rPr>
        <w:t>FX conversion</w:t>
      </w:r>
      <w:r w:rsidRPr="00C67119">
        <w:rPr>
          <w:sz w:val="28"/>
          <w:szCs w:val="22"/>
        </w:rPr>
        <w:t xml:space="preserve"> and transfer the delivery payment to the Exchange before 3:00 p.m. on the EFP approval date, in the case of an EFP involving SDFPs; and before 3:00 p.m. on the transfer processing date, in the case of a transfer of warehouse receipt involving SDFPs.</w:t>
      </w:r>
    </w:p>
    <w:p w:rsidR="00A441C1" w:rsidRDefault="00A441C1" w:rsidP="00A441C1">
      <w:pPr>
        <w:tabs>
          <w:tab w:val="left" w:pos="567"/>
        </w:tabs>
        <w:snapToGrid w:val="0"/>
        <w:spacing w:afterLines="100" w:line="276" w:lineRule="auto"/>
        <w:rPr>
          <w:b/>
          <w:sz w:val="28"/>
          <w:szCs w:val="22"/>
        </w:rPr>
      </w:pPr>
      <w:r w:rsidRPr="00C67119">
        <w:rPr>
          <w:b/>
          <w:sz w:val="28"/>
          <w:szCs w:val="22"/>
        </w:rPr>
        <w:lastRenderedPageBreak/>
        <w:t>(2)</w:t>
      </w:r>
      <w:r w:rsidRPr="00C67119">
        <w:rPr>
          <w:b/>
          <w:sz w:val="28"/>
          <w:szCs w:val="22"/>
        </w:rPr>
        <w:tab/>
      </w:r>
      <w:r>
        <w:rPr>
          <w:rFonts w:hint="eastAsia"/>
          <w:b/>
          <w:sz w:val="28"/>
          <w:szCs w:val="22"/>
        </w:rPr>
        <w:t>FX p</w:t>
      </w:r>
      <w:r w:rsidRPr="00C67119">
        <w:rPr>
          <w:b/>
          <w:sz w:val="28"/>
          <w:szCs w:val="22"/>
        </w:rPr>
        <w:t xml:space="preserve">urchase </w:t>
      </w:r>
      <w:r>
        <w:rPr>
          <w:rFonts w:hint="eastAsia"/>
          <w:b/>
          <w:sz w:val="28"/>
          <w:szCs w:val="22"/>
        </w:rPr>
        <w:t>for</w:t>
      </w:r>
      <w:r w:rsidRPr="00C67119">
        <w:rPr>
          <w:b/>
          <w:sz w:val="28"/>
          <w:szCs w:val="22"/>
        </w:rPr>
        <w:t xml:space="preserve"> the seller in delivery</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Where the seller in a delivery is an overseas institution and has chosen USD as the profit currency, it should collect delivery payment in USD. In this case, its carrying member should purchase </w:t>
      </w:r>
      <w:r>
        <w:rPr>
          <w:rFonts w:hint="eastAsia"/>
          <w:sz w:val="28"/>
          <w:szCs w:val="22"/>
        </w:rPr>
        <w:t>FX</w:t>
      </w:r>
      <w:r w:rsidRPr="00C67119">
        <w:rPr>
          <w:sz w:val="28"/>
          <w:szCs w:val="22"/>
        </w:rPr>
        <w:t xml:space="preserve"> through a depository bank and transfer it to the overseas institution.</w:t>
      </w:r>
    </w:p>
    <w:p w:rsidR="00A441C1" w:rsidRDefault="00A441C1" w:rsidP="00A441C1">
      <w:pPr>
        <w:pStyle w:val="a5"/>
        <w:widowControl/>
        <w:kinsoku w:val="0"/>
        <w:overflowPunct w:val="0"/>
        <w:snapToGrid w:val="0"/>
        <w:spacing w:afterLines="100" w:line="276" w:lineRule="auto"/>
        <w:ind w:left="0"/>
        <w:jc w:val="both"/>
        <w:rPr>
          <w:sz w:val="28"/>
          <w:szCs w:val="22"/>
        </w:rPr>
      </w:pPr>
      <w:r w:rsidRPr="00C67119">
        <w:rPr>
          <w:sz w:val="28"/>
          <w:szCs w:val="22"/>
        </w:rPr>
        <w:t xml:space="preserve">The amount of </w:t>
      </w:r>
      <w:r>
        <w:rPr>
          <w:rFonts w:hint="eastAsia"/>
          <w:sz w:val="28"/>
          <w:szCs w:val="22"/>
        </w:rPr>
        <w:t>FX</w:t>
      </w:r>
      <w:r w:rsidRPr="00C67119">
        <w:rPr>
          <w:sz w:val="28"/>
          <w:szCs w:val="22"/>
        </w:rPr>
        <w:t xml:space="preserve"> an overseas institution purchases should be equal to the amount of delivery payment to be received.</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The seller’s carrying member should complete the </w:t>
      </w:r>
      <w:r>
        <w:rPr>
          <w:rFonts w:hint="eastAsia"/>
          <w:sz w:val="28"/>
          <w:szCs w:val="22"/>
        </w:rPr>
        <w:t xml:space="preserve">FX </w:t>
      </w:r>
      <w:r w:rsidRPr="00C67119">
        <w:rPr>
          <w:sz w:val="28"/>
          <w:szCs w:val="22"/>
        </w:rPr>
        <w:t>purchase before market close of the trading day after the third delivery day, of the trading day after the EFP approval date, or of the trading day after the warehouse receipt transfer processing day, as applicable.</w:t>
      </w:r>
    </w:p>
    <w:p w:rsidR="00A441C1" w:rsidRDefault="00A441C1" w:rsidP="00A441C1">
      <w:pPr>
        <w:tabs>
          <w:tab w:val="left" w:pos="567"/>
        </w:tabs>
        <w:snapToGrid w:val="0"/>
        <w:spacing w:afterLines="100" w:line="276" w:lineRule="auto"/>
        <w:rPr>
          <w:b/>
          <w:sz w:val="28"/>
          <w:szCs w:val="22"/>
        </w:rPr>
      </w:pPr>
      <w:r w:rsidRPr="00C67119">
        <w:rPr>
          <w:b/>
          <w:sz w:val="28"/>
          <w:szCs w:val="22"/>
        </w:rPr>
        <w:t>(3)</w:t>
      </w:r>
      <w:r w:rsidRPr="00C67119">
        <w:rPr>
          <w:b/>
          <w:sz w:val="28"/>
          <w:szCs w:val="22"/>
        </w:rPr>
        <w:tab/>
      </w:r>
      <w:r>
        <w:rPr>
          <w:rFonts w:hint="eastAsia"/>
          <w:b/>
          <w:sz w:val="28"/>
          <w:szCs w:val="22"/>
        </w:rPr>
        <w:t>Documents of</w:t>
      </w:r>
      <w:r w:rsidRPr="00C67119">
        <w:rPr>
          <w:b/>
          <w:sz w:val="28"/>
          <w:szCs w:val="22"/>
        </w:rPr>
        <w:t xml:space="preserve"> </w:t>
      </w:r>
      <w:r>
        <w:rPr>
          <w:rFonts w:hint="eastAsia"/>
          <w:b/>
          <w:sz w:val="28"/>
          <w:szCs w:val="22"/>
        </w:rPr>
        <w:t>FX settlement and purchase</w:t>
      </w:r>
      <w:r w:rsidRPr="00C67119">
        <w:rPr>
          <w:b/>
          <w:sz w:val="28"/>
          <w:szCs w:val="22"/>
        </w:rPr>
        <w:t xml:space="preserve"> for delivery payments</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The </w:t>
      </w:r>
      <w:r>
        <w:rPr>
          <w:rFonts w:hint="eastAsia"/>
          <w:sz w:val="28"/>
          <w:szCs w:val="22"/>
        </w:rPr>
        <w:t>supporting document</w:t>
      </w:r>
      <w:r w:rsidRPr="00C67119">
        <w:rPr>
          <w:sz w:val="28"/>
          <w:szCs w:val="22"/>
        </w:rPr>
        <w:t xml:space="preserve"> for conducting </w:t>
      </w:r>
      <w:r>
        <w:rPr>
          <w:rFonts w:hint="eastAsia"/>
          <w:sz w:val="28"/>
          <w:szCs w:val="22"/>
        </w:rPr>
        <w:t>FX conversion</w:t>
      </w:r>
      <w:r w:rsidRPr="00C67119">
        <w:rPr>
          <w:sz w:val="28"/>
          <w:szCs w:val="22"/>
        </w:rPr>
        <w:t xml:space="preserve"> for delivery payment is the Delivery Notice or the Bonded Delivery Clearing Statement issued by the Exchange. Members should timely provide </w:t>
      </w:r>
      <w:r>
        <w:rPr>
          <w:rFonts w:hint="eastAsia"/>
          <w:sz w:val="28"/>
          <w:szCs w:val="22"/>
        </w:rPr>
        <w:t>supporting documents</w:t>
      </w:r>
      <w:r w:rsidRPr="00C67119">
        <w:rPr>
          <w:sz w:val="28"/>
          <w:szCs w:val="22"/>
        </w:rPr>
        <w:t xml:space="preserve"> to and as required by designated depository banks to satisfy their requirement for the reporting of </w:t>
      </w:r>
      <w:r>
        <w:rPr>
          <w:rFonts w:hint="eastAsia"/>
          <w:sz w:val="28"/>
          <w:szCs w:val="22"/>
        </w:rPr>
        <w:t xml:space="preserve">FX </w:t>
      </w:r>
      <w:r>
        <w:rPr>
          <w:sz w:val="28"/>
          <w:szCs w:val="22"/>
        </w:rPr>
        <w:t>settlement and purchase</w:t>
      </w:r>
      <w:r w:rsidRPr="00C67119">
        <w:rPr>
          <w:sz w:val="28"/>
          <w:szCs w:val="22"/>
        </w:rPr>
        <w:t>.</w:t>
      </w:r>
    </w:p>
    <w:p w:rsidR="00A441C1" w:rsidRDefault="00A441C1" w:rsidP="00A441C1">
      <w:pPr>
        <w:tabs>
          <w:tab w:val="left" w:pos="426"/>
        </w:tabs>
        <w:snapToGrid w:val="0"/>
        <w:spacing w:afterLines="100" w:line="276" w:lineRule="auto"/>
        <w:rPr>
          <w:b/>
          <w:sz w:val="28"/>
          <w:szCs w:val="22"/>
        </w:rPr>
      </w:pPr>
      <w:r w:rsidRPr="00C67119">
        <w:rPr>
          <w:b/>
          <w:sz w:val="28"/>
          <w:szCs w:val="22"/>
        </w:rPr>
        <w:t>V.</w:t>
      </w:r>
      <w:r w:rsidRPr="00C67119">
        <w:rPr>
          <w:b/>
          <w:sz w:val="28"/>
          <w:szCs w:val="22"/>
        </w:rPr>
        <w:tab/>
        <w:t xml:space="preserve">Forced </w:t>
      </w:r>
      <w:r>
        <w:rPr>
          <w:rFonts w:hint="eastAsia"/>
          <w:b/>
          <w:sz w:val="28"/>
          <w:szCs w:val="22"/>
        </w:rPr>
        <w:t>FX</w:t>
      </w:r>
      <w:r w:rsidRPr="00C67119">
        <w:rPr>
          <w:b/>
          <w:sz w:val="28"/>
          <w:szCs w:val="22"/>
        </w:rPr>
        <w:t xml:space="preserve"> Settlement</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See Article 34 of the </w:t>
      </w:r>
      <w:r w:rsidRPr="00C67119">
        <w:rPr>
          <w:i/>
          <w:sz w:val="28"/>
          <w:szCs w:val="22"/>
        </w:rPr>
        <w:t>Detailed Rules for Futures Clearing of Zhengzhou Commodity Exchange</w:t>
      </w:r>
      <w:r w:rsidRPr="00C67119">
        <w:rPr>
          <w:sz w:val="28"/>
          <w:szCs w:val="22"/>
        </w:rPr>
        <w:t xml:space="preserve"> for details.</w:t>
      </w:r>
    </w:p>
    <w:p w:rsidR="00A441C1" w:rsidRDefault="00A441C1" w:rsidP="00A441C1">
      <w:pPr>
        <w:tabs>
          <w:tab w:val="left" w:pos="426"/>
        </w:tabs>
        <w:snapToGrid w:val="0"/>
        <w:spacing w:afterLines="100" w:line="276" w:lineRule="auto"/>
        <w:rPr>
          <w:b/>
          <w:sz w:val="28"/>
          <w:szCs w:val="22"/>
        </w:rPr>
      </w:pPr>
      <w:r w:rsidRPr="00C67119">
        <w:rPr>
          <w:b/>
          <w:sz w:val="28"/>
          <w:szCs w:val="22"/>
        </w:rPr>
        <w:t>VI.</w:t>
      </w:r>
      <w:r w:rsidRPr="00C67119">
        <w:rPr>
          <w:b/>
          <w:sz w:val="28"/>
          <w:szCs w:val="22"/>
        </w:rPr>
        <w:tab/>
        <w:t>Supervision and Administration</w:t>
      </w:r>
    </w:p>
    <w:p w:rsidR="00A441C1" w:rsidRDefault="00A441C1" w:rsidP="00A441C1">
      <w:pPr>
        <w:pStyle w:val="a5"/>
        <w:kinsoku w:val="0"/>
        <w:overflowPunct w:val="0"/>
        <w:snapToGrid w:val="0"/>
        <w:spacing w:afterLines="100" w:line="276" w:lineRule="auto"/>
        <w:ind w:left="0"/>
        <w:jc w:val="both"/>
        <w:rPr>
          <w:sz w:val="28"/>
          <w:szCs w:val="22"/>
        </w:rPr>
      </w:pPr>
      <w:r w:rsidRPr="00C67119">
        <w:rPr>
          <w:sz w:val="28"/>
          <w:szCs w:val="22"/>
        </w:rPr>
        <w:t xml:space="preserve">Members should properly retain </w:t>
      </w:r>
      <w:r>
        <w:rPr>
          <w:rFonts w:hint="eastAsia"/>
          <w:sz w:val="28"/>
          <w:szCs w:val="22"/>
        </w:rPr>
        <w:t>FX</w:t>
      </w:r>
      <w:r w:rsidRPr="00C67119">
        <w:rPr>
          <w:sz w:val="28"/>
          <w:szCs w:val="22"/>
        </w:rPr>
        <w:t xml:space="preserve"> records and data for </w:t>
      </w:r>
      <w:r>
        <w:rPr>
          <w:rFonts w:hint="eastAsia"/>
          <w:sz w:val="28"/>
          <w:szCs w:val="22"/>
        </w:rPr>
        <w:t>relevant</w:t>
      </w:r>
      <w:r w:rsidRPr="00C67119">
        <w:rPr>
          <w:sz w:val="28"/>
          <w:szCs w:val="22"/>
        </w:rPr>
        <w:t xml:space="preserve"> inspection by the Exchange or regulatory authorities. Any irregularity should be prompted reported to the Exchange.</w:t>
      </w:r>
    </w:p>
    <w:p w:rsidR="00A441C1" w:rsidRPr="00C67119" w:rsidRDefault="00A441C1" w:rsidP="00A441C1">
      <w:pPr>
        <w:pStyle w:val="a5"/>
        <w:kinsoku w:val="0"/>
        <w:overflowPunct w:val="0"/>
        <w:snapToGrid w:val="0"/>
        <w:spacing w:afterLines="100" w:line="276" w:lineRule="auto"/>
        <w:ind w:left="0"/>
        <w:jc w:val="both"/>
        <w:rPr>
          <w:sz w:val="28"/>
          <w:szCs w:val="22"/>
        </w:rPr>
        <w:sectPr w:rsidR="00A441C1" w:rsidRPr="00C67119" w:rsidSect="009843D3">
          <w:footerReference w:type="default" r:id="rId6"/>
          <w:pgSz w:w="11906" w:h="16838"/>
          <w:pgMar w:top="1440" w:right="1800" w:bottom="1440" w:left="1800" w:header="851" w:footer="588" w:gutter="0"/>
          <w:cols w:space="425"/>
          <w:docGrid w:type="lines" w:linePitch="312"/>
        </w:sectPr>
      </w:pPr>
      <w:r w:rsidRPr="00C67119">
        <w:rPr>
          <w:sz w:val="28"/>
          <w:szCs w:val="22"/>
        </w:rPr>
        <w:t>Overseas</w:t>
      </w:r>
      <w:r>
        <w:rPr>
          <w:rFonts w:hint="eastAsia"/>
          <w:sz w:val="28"/>
          <w:szCs w:val="22"/>
        </w:rPr>
        <w:t xml:space="preserve"> </w:t>
      </w:r>
      <w:r w:rsidRPr="00C67119">
        <w:rPr>
          <w:rFonts w:hint="eastAsia"/>
          <w:sz w:val="28"/>
          <w:szCs w:val="22"/>
        </w:rPr>
        <w:t>clie</w:t>
      </w:r>
      <w:r w:rsidRPr="00C67119">
        <w:rPr>
          <w:sz w:val="28"/>
          <w:szCs w:val="22"/>
        </w:rPr>
        <w:t>nts, overseas brokers,</w:t>
      </w:r>
      <w:r>
        <w:rPr>
          <w:rFonts w:hint="eastAsia"/>
          <w:sz w:val="28"/>
          <w:szCs w:val="22"/>
        </w:rPr>
        <w:t xml:space="preserve"> </w:t>
      </w:r>
      <w:r w:rsidRPr="00C67119">
        <w:rPr>
          <w:sz w:val="28"/>
          <w:szCs w:val="22"/>
        </w:rPr>
        <w:t xml:space="preserve">members, and depository banks must conduct </w:t>
      </w:r>
      <w:r>
        <w:rPr>
          <w:rFonts w:hint="eastAsia"/>
          <w:sz w:val="28"/>
          <w:szCs w:val="22"/>
        </w:rPr>
        <w:t>FX settlement and</w:t>
      </w:r>
      <w:r w:rsidRPr="00C67119">
        <w:rPr>
          <w:sz w:val="28"/>
          <w:szCs w:val="22"/>
        </w:rPr>
        <w:t xml:space="preserve"> purchase according to the actual results of the SDFP trades of overseas clients and overseas brokers. Entities mentioned above should strengthen </w:t>
      </w:r>
      <w:r>
        <w:rPr>
          <w:rFonts w:hint="eastAsia"/>
          <w:sz w:val="28"/>
          <w:szCs w:val="22"/>
        </w:rPr>
        <w:t>FX</w:t>
      </w:r>
      <w:r w:rsidRPr="00C67119">
        <w:rPr>
          <w:sz w:val="28"/>
          <w:szCs w:val="22"/>
        </w:rPr>
        <w:t xml:space="preserve"> compliance management and refrain from </w:t>
      </w:r>
      <w:r w:rsidRPr="00C67119">
        <w:rPr>
          <w:sz w:val="28"/>
          <w:szCs w:val="22"/>
        </w:rPr>
        <w:lastRenderedPageBreak/>
        <w:t xml:space="preserve">conducting rule-breaking </w:t>
      </w:r>
      <w:r>
        <w:rPr>
          <w:rFonts w:hint="eastAsia"/>
          <w:sz w:val="28"/>
          <w:szCs w:val="22"/>
        </w:rPr>
        <w:t>FX conversion</w:t>
      </w:r>
      <w:r w:rsidRPr="00C67119">
        <w:rPr>
          <w:sz w:val="28"/>
          <w:szCs w:val="22"/>
        </w:rPr>
        <w:t xml:space="preserve"> through such means as engaging in non-bona fide trades.</w:t>
      </w:r>
    </w:p>
    <w:p w:rsidR="00A441C1" w:rsidRDefault="00A441C1" w:rsidP="00A441C1">
      <w:pPr>
        <w:snapToGrid w:val="0"/>
        <w:spacing w:afterLines="100" w:line="276" w:lineRule="auto"/>
        <w:rPr>
          <w:b/>
          <w:bCs/>
          <w:sz w:val="28"/>
          <w:szCs w:val="22"/>
        </w:rPr>
      </w:pPr>
      <w:r w:rsidRPr="00C67119">
        <w:rPr>
          <w:b/>
          <w:bCs/>
          <w:sz w:val="28"/>
          <w:szCs w:val="22"/>
        </w:rPr>
        <w:lastRenderedPageBreak/>
        <w:t>Appendix</w:t>
      </w:r>
      <w:r>
        <w:rPr>
          <w:rFonts w:hint="eastAsia"/>
          <w:b/>
          <w:bCs/>
          <w:sz w:val="28"/>
          <w:szCs w:val="22"/>
        </w:rPr>
        <w:t xml:space="preserve"> I</w:t>
      </w:r>
    </w:p>
    <w:p w:rsidR="00A441C1" w:rsidRDefault="00A441C1" w:rsidP="00A441C1">
      <w:pPr>
        <w:snapToGrid w:val="0"/>
        <w:spacing w:afterLines="100" w:line="276" w:lineRule="auto"/>
        <w:jc w:val="center"/>
        <w:rPr>
          <w:b/>
          <w:bCs/>
          <w:sz w:val="32"/>
        </w:rPr>
      </w:pPr>
      <w:r>
        <w:rPr>
          <w:rFonts w:hint="eastAsia"/>
          <w:b/>
          <w:bCs/>
          <w:sz w:val="32"/>
        </w:rPr>
        <w:t xml:space="preserve">Document of </w:t>
      </w:r>
      <w:r w:rsidRPr="00C67119">
        <w:rPr>
          <w:b/>
          <w:bCs/>
          <w:sz w:val="32"/>
        </w:rPr>
        <w:t xml:space="preserve">Foreign Exchange </w:t>
      </w:r>
      <w:r>
        <w:rPr>
          <w:rFonts w:hint="eastAsia"/>
          <w:b/>
          <w:bCs/>
          <w:sz w:val="32"/>
        </w:rPr>
        <w:t>Settlement and Purchase</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683"/>
        <w:gridCol w:w="644"/>
        <w:gridCol w:w="644"/>
        <w:gridCol w:w="516"/>
        <w:gridCol w:w="515"/>
        <w:gridCol w:w="769"/>
        <w:gridCol w:w="902"/>
        <w:gridCol w:w="899"/>
        <w:gridCol w:w="643"/>
        <w:gridCol w:w="913"/>
        <w:gridCol w:w="771"/>
        <w:gridCol w:w="643"/>
        <w:gridCol w:w="643"/>
        <w:gridCol w:w="899"/>
        <w:gridCol w:w="643"/>
        <w:gridCol w:w="643"/>
        <w:gridCol w:w="643"/>
        <w:gridCol w:w="515"/>
        <w:gridCol w:w="515"/>
        <w:gridCol w:w="880"/>
      </w:tblGrid>
      <w:tr w:rsidR="00A441C1" w:rsidRPr="00802E78" w:rsidTr="008B25E3">
        <w:trPr>
          <w:trHeight w:val="1584"/>
        </w:trPr>
        <w:tc>
          <w:tcPr>
            <w:tcW w:w="245"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Clearing Date</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Member ID</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Member Name</w:t>
            </w:r>
          </w:p>
        </w:tc>
        <w:tc>
          <w:tcPr>
            <w:tcW w:w="185"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Client ID</w:t>
            </w:r>
          </w:p>
        </w:tc>
        <w:tc>
          <w:tcPr>
            <w:tcW w:w="185"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Client Type</w:t>
            </w:r>
          </w:p>
        </w:tc>
        <w:tc>
          <w:tcPr>
            <w:tcW w:w="276"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Profit Currency</w:t>
            </w:r>
          </w:p>
        </w:tc>
        <w:tc>
          <w:tcPr>
            <w:tcW w:w="324"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FX Settlement/Purchase</w:t>
            </w:r>
          </w:p>
        </w:tc>
        <w:tc>
          <w:tcPr>
            <w:tcW w:w="323"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Preceding trading day’s cumulative net profit or loss on SDFPs</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Current day’s profit or loss on SDFPs</w:t>
            </w:r>
          </w:p>
        </w:tc>
        <w:tc>
          <w:tcPr>
            <w:tcW w:w="327"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Current day’s transaction fees for SDFPs</w:t>
            </w:r>
          </w:p>
        </w:tc>
        <w:tc>
          <w:tcPr>
            <w:tcW w:w="277"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Current day’s premium income on SDFPs</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Current day’s other expenditures for SDFPs</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Current day’s total FX amount</w:t>
            </w:r>
          </w:p>
        </w:tc>
        <w:tc>
          <w:tcPr>
            <w:tcW w:w="323"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Current day’s cumulative net profit or loss on SDFPs</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 xml:space="preserve">Current day’s </w:t>
            </w:r>
            <w:r w:rsidRPr="004A1B26">
              <w:rPr>
                <w:rFonts w:hint="eastAsia"/>
                <w:sz w:val="18"/>
                <w:szCs w:val="18"/>
              </w:rPr>
              <w:t>eligible amount for conversion</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USD balance</w:t>
            </w:r>
          </w:p>
        </w:tc>
        <w:tc>
          <w:tcPr>
            <w:tcW w:w="231"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RMB balance</w:t>
            </w:r>
          </w:p>
        </w:tc>
        <w:tc>
          <w:tcPr>
            <w:tcW w:w="185"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Date of record</w:t>
            </w:r>
          </w:p>
        </w:tc>
        <w:tc>
          <w:tcPr>
            <w:tcW w:w="185"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Time of record</w:t>
            </w:r>
          </w:p>
        </w:tc>
        <w:tc>
          <w:tcPr>
            <w:tcW w:w="317" w:type="pct"/>
            <w:tcBorders>
              <w:top w:val="single" w:sz="4" w:space="0" w:color="auto"/>
            </w:tcBorders>
            <w:vAlign w:val="center"/>
          </w:tcPr>
          <w:p w:rsidR="00A441C1" w:rsidRPr="004A1B26" w:rsidRDefault="00A441C1" w:rsidP="008B25E3">
            <w:pPr>
              <w:snapToGrid w:val="0"/>
              <w:rPr>
                <w:kern w:val="0"/>
                <w:sz w:val="18"/>
                <w:szCs w:val="18"/>
              </w:rPr>
            </w:pPr>
            <w:r w:rsidRPr="004A1B26">
              <w:rPr>
                <w:sz w:val="18"/>
                <w:szCs w:val="18"/>
              </w:rPr>
              <w:t>Remark (the current day is a cut-off date for FX conversion/ the cumulative net profit or loss is negative)</w:t>
            </w:r>
          </w:p>
        </w:tc>
      </w:tr>
      <w:tr w:rsidR="00A441C1" w:rsidRPr="00802E78" w:rsidTr="008B25E3">
        <w:trPr>
          <w:trHeight w:val="576"/>
        </w:trPr>
        <w:tc>
          <w:tcPr>
            <w:tcW w:w="245"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276" w:type="pct"/>
            <w:vAlign w:val="center"/>
          </w:tcPr>
          <w:p w:rsidR="00A441C1" w:rsidRPr="004A1B26" w:rsidRDefault="00A441C1" w:rsidP="008B25E3">
            <w:pPr>
              <w:snapToGrid w:val="0"/>
              <w:rPr>
                <w:kern w:val="0"/>
                <w:sz w:val="18"/>
                <w:szCs w:val="18"/>
              </w:rPr>
            </w:pPr>
          </w:p>
        </w:tc>
        <w:tc>
          <w:tcPr>
            <w:tcW w:w="324" w:type="pct"/>
            <w:vAlign w:val="center"/>
          </w:tcPr>
          <w:p w:rsidR="00A441C1" w:rsidRPr="004A1B26" w:rsidRDefault="00A441C1" w:rsidP="008B25E3">
            <w:pPr>
              <w:snapToGrid w:val="0"/>
              <w:rPr>
                <w:kern w:val="0"/>
                <w:sz w:val="18"/>
                <w:szCs w:val="18"/>
              </w:rPr>
            </w:pPr>
          </w:p>
        </w:tc>
        <w:tc>
          <w:tcPr>
            <w:tcW w:w="323" w:type="pct"/>
            <w:vAlign w:val="center"/>
          </w:tcPr>
          <w:p w:rsidR="00A441C1" w:rsidRPr="004A1B26" w:rsidRDefault="00A441C1" w:rsidP="008B25E3">
            <w:pPr>
              <w:snapToGrid w:val="0"/>
              <w:rPr>
                <w:kern w:val="0"/>
                <w:sz w:val="18"/>
                <w:szCs w:val="18"/>
              </w:rPr>
            </w:pPr>
          </w:p>
        </w:tc>
        <w:tc>
          <w:tcPr>
            <w:tcW w:w="230" w:type="pct"/>
            <w:vAlign w:val="center"/>
          </w:tcPr>
          <w:p w:rsidR="00A441C1" w:rsidRPr="004A1B26" w:rsidRDefault="00A441C1" w:rsidP="008B25E3">
            <w:pPr>
              <w:snapToGrid w:val="0"/>
              <w:rPr>
                <w:kern w:val="0"/>
                <w:sz w:val="18"/>
                <w:szCs w:val="18"/>
              </w:rPr>
            </w:pPr>
          </w:p>
        </w:tc>
        <w:tc>
          <w:tcPr>
            <w:tcW w:w="328" w:type="pct"/>
            <w:vAlign w:val="center"/>
          </w:tcPr>
          <w:p w:rsidR="00A441C1" w:rsidRPr="004A1B26" w:rsidRDefault="00A441C1" w:rsidP="008B25E3">
            <w:pPr>
              <w:snapToGrid w:val="0"/>
              <w:rPr>
                <w:kern w:val="0"/>
                <w:sz w:val="18"/>
                <w:szCs w:val="18"/>
              </w:rPr>
            </w:pPr>
          </w:p>
        </w:tc>
        <w:tc>
          <w:tcPr>
            <w:tcW w:w="277"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323"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317" w:type="pct"/>
            <w:vAlign w:val="center"/>
          </w:tcPr>
          <w:p w:rsidR="00A441C1" w:rsidRPr="004A1B26" w:rsidRDefault="00A441C1" w:rsidP="008B25E3">
            <w:pPr>
              <w:snapToGrid w:val="0"/>
              <w:rPr>
                <w:kern w:val="0"/>
                <w:sz w:val="18"/>
                <w:szCs w:val="18"/>
              </w:rPr>
            </w:pPr>
          </w:p>
        </w:tc>
      </w:tr>
      <w:tr w:rsidR="00A441C1" w:rsidRPr="00802E78" w:rsidTr="008B25E3">
        <w:trPr>
          <w:trHeight w:val="576"/>
        </w:trPr>
        <w:tc>
          <w:tcPr>
            <w:tcW w:w="245"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276" w:type="pct"/>
            <w:vAlign w:val="center"/>
          </w:tcPr>
          <w:p w:rsidR="00A441C1" w:rsidRPr="004A1B26" w:rsidRDefault="00A441C1" w:rsidP="008B25E3">
            <w:pPr>
              <w:snapToGrid w:val="0"/>
              <w:rPr>
                <w:kern w:val="0"/>
                <w:sz w:val="18"/>
                <w:szCs w:val="18"/>
              </w:rPr>
            </w:pPr>
          </w:p>
        </w:tc>
        <w:tc>
          <w:tcPr>
            <w:tcW w:w="324" w:type="pct"/>
            <w:vAlign w:val="center"/>
          </w:tcPr>
          <w:p w:rsidR="00A441C1" w:rsidRPr="004A1B26" w:rsidRDefault="00A441C1" w:rsidP="008B25E3">
            <w:pPr>
              <w:snapToGrid w:val="0"/>
              <w:rPr>
                <w:kern w:val="0"/>
                <w:sz w:val="18"/>
                <w:szCs w:val="18"/>
              </w:rPr>
            </w:pPr>
          </w:p>
        </w:tc>
        <w:tc>
          <w:tcPr>
            <w:tcW w:w="323" w:type="pct"/>
            <w:vAlign w:val="center"/>
          </w:tcPr>
          <w:p w:rsidR="00A441C1" w:rsidRPr="004A1B26" w:rsidRDefault="00A441C1" w:rsidP="008B25E3">
            <w:pPr>
              <w:snapToGrid w:val="0"/>
              <w:rPr>
                <w:kern w:val="0"/>
                <w:sz w:val="18"/>
                <w:szCs w:val="18"/>
              </w:rPr>
            </w:pPr>
          </w:p>
        </w:tc>
        <w:tc>
          <w:tcPr>
            <w:tcW w:w="230" w:type="pct"/>
            <w:vAlign w:val="center"/>
          </w:tcPr>
          <w:p w:rsidR="00A441C1" w:rsidRPr="004A1B26" w:rsidRDefault="00A441C1" w:rsidP="008B25E3">
            <w:pPr>
              <w:snapToGrid w:val="0"/>
              <w:rPr>
                <w:kern w:val="0"/>
                <w:sz w:val="18"/>
                <w:szCs w:val="18"/>
              </w:rPr>
            </w:pPr>
          </w:p>
        </w:tc>
        <w:tc>
          <w:tcPr>
            <w:tcW w:w="328" w:type="pct"/>
            <w:vAlign w:val="center"/>
          </w:tcPr>
          <w:p w:rsidR="00A441C1" w:rsidRPr="004A1B26" w:rsidRDefault="00A441C1" w:rsidP="008B25E3">
            <w:pPr>
              <w:snapToGrid w:val="0"/>
              <w:rPr>
                <w:kern w:val="0"/>
                <w:sz w:val="18"/>
                <w:szCs w:val="18"/>
              </w:rPr>
            </w:pPr>
          </w:p>
        </w:tc>
        <w:tc>
          <w:tcPr>
            <w:tcW w:w="277"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323"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231"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185" w:type="pct"/>
            <w:vAlign w:val="center"/>
          </w:tcPr>
          <w:p w:rsidR="00A441C1" w:rsidRPr="004A1B26" w:rsidRDefault="00A441C1" w:rsidP="008B25E3">
            <w:pPr>
              <w:snapToGrid w:val="0"/>
              <w:rPr>
                <w:kern w:val="0"/>
                <w:sz w:val="18"/>
                <w:szCs w:val="18"/>
              </w:rPr>
            </w:pPr>
          </w:p>
        </w:tc>
        <w:tc>
          <w:tcPr>
            <w:tcW w:w="317" w:type="pct"/>
            <w:vAlign w:val="center"/>
          </w:tcPr>
          <w:p w:rsidR="00A441C1" w:rsidRPr="004A1B26" w:rsidRDefault="00A441C1" w:rsidP="008B25E3">
            <w:pPr>
              <w:snapToGrid w:val="0"/>
              <w:rPr>
                <w:kern w:val="0"/>
                <w:sz w:val="18"/>
                <w:szCs w:val="18"/>
              </w:rPr>
            </w:pPr>
          </w:p>
        </w:tc>
      </w:tr>
    </w:tbl>
    <w:p w:rsidR="00A441C1" w:rsidRPr="00C67119" w:rsidRDefault="00A441C1" w:rsidP="00A441C1">
      <w:pPr>
        <w:snapToGrid w:val="0"/>
        <w:spacing w:beforeLines="50" w:afterLines="50" w:line="276" w:lineRule="auto"/>
        <w:rPr>
          <w:sz w:val="22"/>
          <w:szCs w:val="20"/>
        </w:rPr>
      </w:pPr>
      <w:r w:rsidRPr="00C67119">
        <w:rPr>
          <w:sz w:val="22"/>
          <w:szCs w:val="20"/>
        </w:rPr>
        <w:t>(1) “Member ID”: means the unique code assigned to the member by CFMMC.</w:t>
      </w:r>
    </w:p>
    <w:p w:rsidR="00A441C1" w:rsidRDefault="00A441C1" w:rsidP="00A441C1">
      <w:pPr>
        <w:snapToGrid w:val="0"/>
        <w:spacing w:afterLines="50" w:line="276" w:lineRule="auto"/>
        <w:rPr>
          <w:sz w:val="22"/>
          <w:szCs w:val="20"/>
        </w:rPr>
      </w:pPr>
      <w:r w:rsidRPr="00C67119">
        <w:rPr>
          <w:sz w:val="22"/>
          <w:szCs w:val="20"/>
        </w:rPr>
        <w:t xml:space="preserve">(2) “Client </w:t>
      </w:r>
      <w:r>
        <w:rPr>
          <w:rFonts w:hint="eastAsia"/>
          <w:sz w:val="22"/>
          <w:szCs w:val="20"/>
        </w:rPr>
        <w:t>T</w:t>
      </w:r>
      <w:r w:rsidRPr="00C67119">
        <w:rPr>
          <w:sz w:val="22"/>
          <w:szCs w:val="20"/>
        </w:rPr>
        <w:t>ype”: 0 – individual; 1 – institution.</w:t>
      </w:r>
    </w:p>
    <w:p w:rsidR="00A441C1" w:rsidRDefault="00A441C1" w:rsidP="00A441C1">
      <w:pPr>
        <w:snapToGrid w:val="0"/>
        <w:spacing w:afterLines="50" w:line="276" w:lineRule="auto"/>
        <w:rPr>
          <w:sz w:val="22"/>
          <w:szCs w:val="20"/>
        </w:rPr>
      </w:pPr>
      <w:r w:rsidRPr="00C67119">
        <w:rPr>
          <w:sz w:val="22"/>
          <w:szCs w:val="20"/>
        </w:rPr>
        <w:t xml:space="preserve">(3) “Profit </w:t>
      </w:r>
      <w:r>
        <w:rPr>
          <w:rFonts w:hint="eastAsia"/>
          <w:sz w:val="22"/>
          <w:szCs w:val="20"/>
        </w:rPr>
        <w:t>C</w:t>
      </w:r>
      <w:r w:rsidRPr="00C67119">
        <w:rPr>
          <w:sz w:val="22"/>
          <w:szCs w:val="20"/>
        </w:rPr>
        <w:t>urrency”: CNY – RMB (renminbi); USD – U.S. dollar.</w:t>
      </w:r>
    </w:p>
    <w:p w:rsidR="00A441C1" w:rsidRDefault="00A441C1" w:rsidP="00A441C1">
      <w:pPr>
        <w:snapToGrid w:val="0"/>
        <w:spacing w:afterLines="50" w:line="276" w:lineRule="auto"/>
        <w:rPr>
          <w:sz w:val="22"/>
          <w:szCs w:val="20"/>
        </w:rPr>
      </w:pPr>
      <w:r w:rsidRPr="00C67119">
        <w:rPr>
          <w:sz w:val="22"/>
          <w:szCs w:val="20"/>
        </w:rPr>
        <w:t>(4) “</w:t>
      </w:r>
      <w:r>
        <w:rPr>
          <w:rFonts w:hint="eastAsia"/>
          <w:sz w:val="22"/>
          <w:szCs w:val="20"/>
        </w:rPr>
        <w:t>FX Settlement/Purchase</w:t>
      </w:r>
      <w:r w:rsidRPr="00C67119">
        <w:rPr>
          <w:sz w:val="22"/>
          <w:szCs w:val="20"/>
        </w:rPr>
        <w:t xml:space="preserve">”: 0 – </w:t>
      </w:r>
      <w:r>
        <w:rPr>
          <w:rFonts w:hint="eastAsia"/>
          <w:sz w:val="22"/>
          <w:szCs w:val="20"/>
        </w:rPr>
        <w:t>FX settlement</w:t>
      </w:r>
      <w:r w:rsidRPr="00C67119">
        <w:rPr>
          <w:sz w:val="22"/>
          <w:szCs w:val="20"/>
        </w:rPr>
        <w:t xml:space="preserve">; 1 – </w:t>
      </w:r>
      <w:r>
        <w:rPr>
          <w:rFonts w:hint="eastAsia"/>
          <w:sz w:val="22"/>
          <w:szCs w:val="20"/>
        </w:rPr>
        <w:t>FX</w:t>
      </w:r>
      <w:r w:rsidRPr="00C67119">
        <w:rPr>
          <w:sz w:val="22"/>
          <w:szCs w:val="20"/>
        </w:rPr>
        <w:t xml:space="preserve"> purchase.</w:t>
      </w:r>
    </w:p>
    <w:p w:rsidR="00A441C1" w:rsidRDefault="00A441C1" w:rsidP="00A441C1">
      <w:pPr>
        <w:snapToGrid w:val="0"/>
        <w:spacing w:afterLines="50" w:line="276" w:lineRule="auto"/>
        <w:rPr>
          <w:sz w:val="22"/>
          <w:szCs w:val="20"/>
        </w:rPr>
      </w:pPr>
      <w:r w:rsidRPr="00C67119">
        <w:rPr>
          <w:rFonts w:hint="eastAsia"/>
          <w:sz w:val="22"/>
          <w:szCs w:val="20"/>
        </w:rPr>
        <w:t>(</w:t>
      </w:r>
      <w:r w:rsidRPr="00C67119">
        <w:rPr>
          <w:sz w:val="22"/>
          <w:szCs w:val="20"/>
        </w:rPr>
        <w:t>5) Current</w:t>
      </w:r>
      <w:r>
        <w:rPr>
          <w:rFonts w:hint="eastAsia"/>
          <w:sz w:val="22"/>
          <w:szCs w:val="20"/>
        </w:rPr>
        <w:t xml:space="preserve"> </w:t>
      </w:r>
      <w:r w:rsidRPr="00C67119">
        <w:rPr>
          <w:sz w:val="22"/>
          <w:szCs w:val="20"/>
        </w:rPr>
        <w:t xml:space="preserve">day’s cumulative net profit or loss on SDFPs = preceding trading day’s cumulative net profit or loss on SDFPs + current day’s net profit or loss on SDFPs – current day’s other expenditures for SDFPs – current day’s </w:t>
      </w:r>
      <w:r>
        <w:rPr>
          <w:rFonts w:hint="eastAsia"/>
          <w:sz w:val="22"/>
          <w:szCs w:val="20"/>
        </w:rPr>
        <w:t>FX</w:t>
      </w:r>
      <w:r w:rsidRPr="00C67119">
        <w:rPr>
          <w:sz w:val="22"/>
          <w:szCs w:val="20"/>
        </w:rPr>
        <w:t xml:space="preserve"> purchase amount. The preceding trading day’s cumulative net profit or loss on SDFPs is taken to be zero</w:t>
      </w:r>
      <w:r>
        <w:rPr>
          <w:rFonts w:hint="eastAsia"/>
          <w:sz w:val="22"/>
          <w:szCs w:val="20"/>
        </w:rPr>
        <w:t xml:space="preserve"> </w:t>
      </w:r>
      <w:r w:rsidRPr="00C67119">
        <w:rPr>
          <w:sz w:val="22"/>
          <w:szCs w:val="20"/>
        </w:rPr>
        <w:t>if: (1) the preceding trading day is</w:t>
      </w:r>
      <w:r>
        <w:rPr>
          <w:rFonts w:hint="eastAsia"/>
          <w:sz w:val="22"/>
          <w:szCs w:val="20"/>
        </w:rPr>
        <w:t xml:space="preserve"> </w:t>
      </w:r>
      <w:r w:rsidRPr="00C67119">
        <w:rPr>
          <w:sz w:val="22"/>
          <w:szCs w:val="20"/>
        </w:rPr>
        <w:t>a cut-off date</w:t>
      </w:r>
      <w:r>
        <w:rPr>
          <w:rFonts w:hint="eastAsia"/>
          <w:sz w:val="22"/>
          <w:szCs w:val="20"/>
        </w:rPr>
        <w:t xml:space="preserve"> for FX conversion</w:t>
      </w:r>
      <w:r w:rsidRPr="00C67119">
        <w:rPr>
          <w:sz w:val="22"/>
          <w:szCs w:val="20"/>
        </w:rPr>
        <w:t xml:space="preserve">; (2) the cumulative net profit or loss on SDFPs is below zero (negative); </w:t>
      </w:r>
      <w:r w:rsidRPr="00C67119">
        <w:rPr>
          <w:sz w:val="22"/>
          <w:szCs w:val="20"/>
        </w:rPr>
        <w:lastRenderedPageBreak/>
        <w:t>or (3) the profit currency has been changed after the time of</w:t>
      </w:r>
      <w:r>
        <w:rPr>
          <w:rFonts w:hint="eastAsia"/>
          <w:sz w:val="22"/>
          <w:szCs w:val="20"/>
        </w:rPr>
        <w:t xml:space="preserve"> </w:t>
      </w:r>
      <w:r w:rsidRPr="00C67119">
        <w:rPr>
          <w:sz w:val="22"/>
          <w:szCs w:val="20"/>
        </w:rPr>
        <w:t>clearing and settlement</w:t>
      </w:r>
      <w:r>
        <w:rPr>
          <w:rFonts w:hint="eastAsia"/>
          <w:sz w:val="22"/>
          <w:szCs w:val="20"/>
        </w:rPr>
        <w:t xml:space="preserve"> </w:t>
      </w:r>
      <w:r w:rsidRPr="00C67119">
        <w:rPr>
          <w:sz w:val="22"/>
          <w:szCs w:val="20"/>
        </w:rPr>
        <w:t xml:space="preserve">on the preceding trading day. The current day’s </w:t>
      </w:r>
      <w:r>
        <w:rPr>
          <w:rFonts w:hint="eastAsia"/>
          <w:sz w:val="22"/>
          <w:szCs w:val="20"/>
        </w:rPr>
        <w:t>FX</w:t>
      </w:r>
      <w:r w:rsidRPr="00C67119">
        <w:rPr>
          <w:sz w:val="22"/>
          <w:szCs w:val="20"/>
        </w:rPr>
        <w:t xml:space="preserve"> purchase amount is taken to be zero if: (1) the preceding trading day falls on the cut-off date</w:t>
      </w:r>
      <w:r>
        <w:rPr>
          <w:rFonts w:hint="eastAsia"/>
          <w:sz w:val="22"/>
          <w:szCs w:val="20"/>
        </w:rPr>
        <w:t xml:space="preserve"> for FX conversion</w:t>
      </w:r>
      <w:r w:rsidRPr="00C67119">
        <w:rPr>
          <w:sz w:val="22"/>
          <w:szCs w:val="20"/>
        </w:rPr>
        <w:t xml:space="preserve">; (2) the </w:t>
      </w:r>
      <w:r>
        <w:rPr>
          <w:rFonts w:hint="eastAsia"/>
          <w:sz w:val="22"/>
          <w:szCs w:val="20"/>
        </w:rPr>
        <w:t>FX</w:t>
      </w:r>
      <w:r w:rsidRPr="00C67119">
        <w:rPr>
          <w:sz w:val="22"/>
          <w:szCs w:val="20"/>
        </w:rPr>
        <w:t xml:space="preserve"> is s</w:t>
      </w:r>
      <w:r>
        <w:rPr>
          <w:rFonts w:hint="eastAsia"/>
          <w:sz w:val="22"/>
          <w:szCs w:val="20"/>
        </w:rPr>
        <w:t>ettled</w:t>
      </w:r>
      <w:r w:rsidRPr="00C67119">
        <w:rPr>
          <w:sz w:val="22"/>
          <w:szCs w:val="20"/>
        </w:rPr>
        <w:t xml:space="preserve"> on the current day; or (3) the profit currency has been changed after the time of clearing</w:t>
      </w:r>
      <w:r>
        <w:rPr>
          <w:rFonts w:hint="eastAsia"/>
          <w:sz w:val="22"/>
          <w:szCs w:val="20"/>
        </w:rPr>
        <w:t xml:space="preserve"> </w:t>
      </w:r>
      <w:r w:rsidRPr="00C67119">
        <w:rPr>
          <w:sz w:val="22"/>
          <w:szCs w:val="20"/>
        </w:rPr>
        <w:t>on the preceding trading day.</w:t>
      </w:r>
    </w:p>
    <w:p w:rsidR="00A441C1" w:rsidRDefault="00A441C1" w:rsidP="00A441C1">
      <w:pPr>
        <w:snapToGrid w:val="0"/>
        <w:spacing w:afterLines="50" w:line="276" w:lineRule="auto"/>
        <w:rPr>
          <w:sz w:val="22"/>
          <w:szCs w:val="20"/>
        </w:rPr>
      </w:pPr>
      <w:r w:rsidRPr="00C67119">
        <w:rPr>
          <w:sz w:val="22"/>
          <w:szCs w:val="20"/>
        </w:rPr>
        <w:t xml:space="preserve">(6) “Current day’s total </w:t>
      </w:r>
      <w:r>
        <w:rPr>
          <w:rFonts w:hint="eastAsia"/>
          <w:sz w:val="22"/>
          <w:szCs w:val="20"/>
        </w:rPr>
        <w:t>FX</w:t>
      </w:r>
      <w:r w:rsidRPr="00C67119">
        <w:rPr>
          <w:sz w:val="22"/>
          <w:szCs w:val="20"/>
        </w:rPr>
        <w:t xml:space="preserve"> amount”: means the total amount exchanged by an overseas </w:t>
      </w:r>
      <w:r>
        <w:rPr>
          <w:rFonts w:hint="eastAsia"/>
          <w:sz w:val="22"/>
          <w:szCs w:val="20"/>
        </w:rPr>
        <w:t xml:space="preserve">clearing and delivery principal </w:t>
      </w:r>
      <w:r w:rsidRPr="00C67119">
        <w:rPr>
          <w:sz w:val="22"/>
          <w:szCs w:val="20"/>
        </w:rPr>
        <w:t xml:space="preserve">from the time of clearing on the preceding trading day to before 3:00 p.m. on the current day; positive for </w:t>
      </w:r>
      <w:r>
        <w:rPr>
          <w:rFonts w:hint="eastAsia"/>
          <w:sz w:val="22"/>
          <w:szCs w:val="20"/>
        </w:rPr>
        <w:t>FX</w:t>
      </w:r>
      <w:r w:rsidRPr="00C67119">
        <w:rPr>
          <w:sz w:val="22"/>
          <w:szCs w:val="20"/>
        </w:rPr>
        <w:t xml:space="preserve"> purchase, negative for </w:t>
      </w:r>
      <w:r>
        <w:rPr>
          <w:rFonts w:hint="eastAsia"/>
          <w:sz w:val="22"/>
          <w:szCs w:val="20"/>
        </w:rPr>
        <w:t>FX</w:t>
      </w:r>
      <w:r w:rsidRPr="00C67119">
        <w:rPr>
          <w:sz w:val="22"/>
          <w:szCs w:val="20"/>
        </w:rPr>
        <w:t xml:space="preserve"> s</w:t>
      </w:r>
      <w:r>
        <w:rPr>
          <w:rFonts w:hint="eastAsia"/>
          <w:sz w:val="22"/>
          <w:szCs w:val="20"/>
        </w:rPr>
        <w:t>ettlement</w:t>
      </w:r>
      <w:r w:rsidRPr="00C67119">
        <w:rPr>
          <w:sz w:val="22"/>
          <w:szCs w:val="20"/>
        </w:rPr>
        <w:t>.</w:t>
      </w:r>
    </w:p>
    <w:p w:rsidR="00A441C1" w:rsidRDefault="00A441C1" w:rsidP="00A441C1">
      <w:pPr>
        <w:snapToGrid w:val="0"/>
        <w:spacing w:afterLines="50" w:line="276" w:lineRule="auto"/>
        <w:rPr>
          <w:sz w:val="22"/>
          <w:szCs w:val="20"/>
        </w:rPr>
      </w:pPr>
      <w:r w:rsidRPr="00C67119">
        <w:rPr>
          <w:sz w:val="22"/>
          <w:szCs w:val="20"/>
        </w:rPr>
        <w:t xml:space="preserve">(7) </w:t>
      </w:r>
      <w:r w:rsidRPr="00C67119">
        <w:rPr>
          <w:rFonts w:hint="eastAsia"/>
          <w:sz w:val="22"/>
          <w:szCs w:val="20"/>
        </w:rPr>
        <w:t>“</w:t>
      </w:r>
      <w:r w:rsidRPr="00C67119">
        <w:rPr>
          <w:sz w:val="22"/>
          <w:szCs w:val="20"/>
        </w:rPr>
        <w:t>Remark”: for noting such things as the current day being the foreign exchange cut-off da</w:t>
      </w:r>
      <w:r w:rsidRPr="00C67119">
        <w:rPr>
          <w:rFonts w:hint="eastAsia"/>
          <w:sz w:val="22"/>
          <w:szCs w:val="20"/>
        </w:rPr>
        <w:t>t</w:t>
      </w:r>
      <w:r w:rsidRPr="00C67119">
        <w:rPr>
          <w:sz w:val="22"/>
          <w:szCs w:val="20"/>
        </w:rPr>
        <w:t>e or the cumulative net profit or loss being negative.</w:t>
      </w:r>
    </w:p>
    <w:p w:rsidR="00A441C1" w:rsidRPr="00DE2D30" w:rsidRDefault="00A441C1" w:rsidP="00A441C1">
      <w:pPr>
        <w:ind w:right="1287"/>
        <w:rPr>
          <w:rFonts w:ascii="仿宋" w:eastAsia="仿宋" w:hAnsi="仿宋"/>
          <w:spacing w:val="-6"/>
          <w:sz w:val="32"/>
        </w:rPr>
      </w:pPr>
    </w:p>
    <w:p w:rsidR="00A441C1" w:rsidRDefault="00A441C1" w:rsidP="00A441C1"/>
    <w:p w:rsidR="00C95D7A" w:rsidRPr="00A441C1" w:rsidRDefault="00C95D7A"/>
    <w:sectPr w:rsidR="00C95D7A" w:rsidRPr="00A441C1" w:rsidSect="004B6B6A">
      <w:footerReference w:type="even" r:id="rId7"/>
      <w:footerReference w:type="default" r:id="rId8"/>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7B" w:rsidRDefault="000E797B" w:rsidP="00A441C1">
      <w:r>
        <w:separator/>
      </w:r>
    </w:p>
  </w:endnote>
  <w:endnote w:type="continuationSeparator" w:id="1">
    <w:p w:rsidR="000E797B" w:rsidRDefault="000E797B" w:rsidP="00A44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1C1" w:rsidRPr="00EA52ED" w:rsidRDefault="00A441C1" w:rsidP="009843D3">
    <w:pPr>
      <w:pStyle w:val="a3"/>
      <w:jc w:val="center"/>
      <w:rPr>
        <w:sz w:val="20"/>
        <w:szCs w:val="20"/>
      </w:rPr>
    </w:pPr>
    <w:r w:rsidRPr="00EA52ED">
      <w:rPr>
        <w:sz w:val="20"/>
        <w:szCs w:val="20"/>
      </w:rPr>
      <w:fldChar w:fldCharType="begin"/>
    </w:r>
    <w:r w:rsidRPr="00EA52ED">
      <w:rPr>
        <w:sz w:val="20"/>
        <w:szCs w:val="20"/>
      </w:rPr>
      <w:instrText>PAGE   \* MERGEFORMAT</w:instrText>
    </w:r>
    <w:r w:rsidRPr="00EA52ED">
      <w:rPr>
        <w:sz w:val="20"/>
        <w:szCs w:val="20"/>
      </w:rPr>
      <w:fldChar w:fldCharType="separate"/>
    </w:r>
    <w:r w:rsidRPr="00A441C1">
      <w:rPr>
        <w:noProof/>
        <w:sz w:val="20"/>
        <w:szCs w:val="20"/>
        <w:lang w:val="zh-CN"/>
      </w:rPr>
      <w:t>1</w:t>
    </w:r>
    <w:r w:rsidRPr="00EA52ED">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A" w:rsidRDefault="000E797B">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12</w:t>
    </w:r>
    <w:r>
      <w:rPr>
        <w:rStyle w:val="a4"/>
        <w:sz w:val="28"/>
      </w:rPr>
      <w:fldChar w:fldCharType="end"/>
    </w:r>
    <w:r>
      <w:rPr>
        <w:rFonts w:hint="eastAsia"/>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6A" w:rsidRDefault="000E797B">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A441C1">
      <w:rPr>
        <w:rStyle w:val="a4"/>
        <w:noProof/>
        <w:sz w:val="28"/>
      </w:rPr>
      <w:t>8</w:t>
    </w:r>
    <w:r>
      <w:rPr>
        <w:rStyle w:val="a4"/>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7B" w:rsidRDefault="000E797B" w:rsidP="00A441C1">
      <w:r>
        <w:separator/>
      </w:r>
    </w:p>
  </w:footnote>
  <w:footnote w:type="continuationSeparator" w:id="1">
    <w:p w:rsidR="000E797B" w:rsidRDefault="000E797B" w:rsidP="00A441C1">
      <w:r>
        <w:continuationSeparator/>
      </w:r>
    </w:p>
  </w:footnote>
  <w:footnote w:id="2">
    <w:p w:rsidR="00A441C1" w:rsidRDefault="00A441C1" w:rsidP="00A441C1">
      <w:pPr>
        <w:pStyle w:val="a7"/>
        <w:spacing w:afterLines="50"/>
      </w:pPr>
      <w:r>
        <w:rPr>
          <w:rStyle w:val="a8"/>
        </w:rPr>
        <w:footnoteRef/>
      </w:r>
      <w:r w:rsidRPr="00363E57">
        <w:t>Including profits and losses from open and closed-out positions on the current day, etc.</w:t>
      </w:r>
    </w:p>
  </w:footnote>
  <w:footnote w:id="3">
    <w:p w:rsidR="00A441C1" w:rsidRDefault="00A441C1" w:rsidP="00A441C1">
      <w:pPr>
        <w:pStyle w:val="a7"/>
        <w:spacing w:afterLines="50"/>
      </w:pPr>
      <w:r>
        <w:rPr>
          <w:rStyle w:val="a8"/>
        </w:rPr>
        <w:footnoteRef/>
      </w:r>
      <w:r>
        <w:rPr>
          <w:rFonts w:hint="eastAsia"/>
        </w:rPr>
        <w:t>I</w:t>
      </w:r>
      <w:r>
        <w:t>nclud</w:t>
      </w:r>
      <w:r>
        <w:rPr>
          <w:rFonts w:hint="eastAsia"/>
        </w:rPr>
        <w:t xml:space="preserve">ing </w:t>
      </w:r>
      <w:r w:rsidRPr="00363E57">
        <w:t xml:space="preserve">transaction fees for trading, delivery, EFP, </w:t>
      </w:r>
      <w:r>
        <w:t xml:space="preserve">pledging assets as margin, </w:t>
      </w:r>
      <w:r w:rsidRPr="00363E57">
        <w:t>warrant transfers, and options exercise/performance, etc.</w:t>
      </w:r>
    </w:p>
  </w:footnote>
  <w:footnote w:id="4">
    <w:p w:rsidR="00A441C1" w:rsidRDefault="00A441C1" w:rsidP="00A441C1">
      <w:pPr>
        <w:pStyle w:val="a7"/>
        <w:spacing w:afterLines="40"/>
      </w:pPr>
      <w:r>
        <w:rPr>
          <w:rStyle w:val="a8"/>
        </w:rPr>
        <w:footnoteRef/>
      </w:r>
      <w:r>
        <w:rPr>
          <w:rFonts w:hint="eastAsia"/>
        </w:rPr>
        <w:t>I</w:t>
      </w:r>
      <w:r>
        <w:t xml:space="preserve">ncluding </w:t>
      </w:r>
      <w:r w:rsidRPr="00885697">
        <w:t xml:space="preserve">SDFP-related load-in deposits </w:t>
      </w:r>
      <w:r>
        <w:t>and</w:t>
      </w:r>
      <w:r>
        <w:rPr>
          <w:rFonts w:hint="eastAsia"/>
        </w:rPr>
        <w:t xml:space="preserve"> </w:t>
      </w:r>
      <w:r w:rsidRPr="00885697">
        <w:t>SDFP-related storage fees</w:t>
      </w:r>
      <w:r w:rsidRPr="00B168B3">
        <w:t xml:space="preserve"> (limited to </w:t>
      </w:r>
      <w:r>
        <w:t>those</w:t>
      </w:r>
      <w:r w:rsidRPr="00B168B3">
        <w:t xml:space="preserve"> collected </w:t>
      </w:r>
      <w:r>
        <w:t xml:space="preserve">and </w:t>
      </w:r>
      <w:r w:rsidRPr="00B168B3">
        <w:t xml:space="preserve">transferred by </w:t>
      </w:r>
      <w:r>
        <w:t xml:space="preserve">the </w:t>
      </w:r>
      <w:r w:rsidRPr="00B168B3">
        <w:t xml:space="preserve">member or the Exchange on </w:t>
      </w:r>
      <w:r>
        <w:t xml:space="preserve">the </w:t>
      </w:r>
      <w:r w:rsidRPr="00B168B3">
        <w:t>client or broker</w:t>
      </w:r>
      <w:r>
        <w:t>’s behalf</w:t>
      </w:r>
      <w:r w:rsidRPr="00B168B3">
        <w:t>)</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41C1"/>
    <w:rsid w:val="000E797B"/>
    <w:rsid w:val="00A441C1"/>
    <w:rsid w:val="00C95D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1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41C1"/>
    <w:pPr>
      <w:tabs>
        <w:tab w:val="center" w:pos="4153"/>
        <w:tab w:val="right" w:pos="8306"/>
      </w:tabs>
      <w:snapToGrid w:val="0"/>
      <w:jc w:val="left"/>
    </w:pPr>
    <w:rPr>
      <w:sz w:val="18"/>
      <w:szCs w:val="18"/>
    </w:rPr>
  </w:style>
  <w:style w:type="character" w:customStyle="1" w:styleId="Char">
    <w:name w:val="页脚 Char"/>
    <w:basedOn w:val="a0"/>
    <w:link w:val="a3"/>
    <w:uiPriority w:val="99"/>
    <w:rsid w:val="00A441C1"/>
    <w:rPr>
      <w:rFonts w:ascii="Times New Roman" w:eastAsia="宋体" w:hAnsi="Times New Roman" w:cs="Times New Roman"/>
      <w:sz w:val="18"/>
      <w:szCs w:val="18"/>
    </w:rPr>
  </w:style>
  <w:style w:type="character" w:styleId="a4">
    <w:name w:val="page number"/>
    <w:basedOn w:val="a0"/>
    <w:rsid w:val="00A441C1"/>
  </w:style>
  <w:style w:type="paragraph" w:styleId="a5">
    <w:name w:val="Body Text"/>
    <w:basedOn w:val="a"/>
    <w:link w:val="Char0"/>
    <w:uiPriority w:val="1"/>
    <w:qFormat/>
    <w:rsid w:val="00A441C1"/>
    <w:pPr>
      <w:autoSpaceDE w:val="0"/>
      <w:autoSpaceDN w:val="0"/>
      <w:adjustRightInd w:val="0"/>
      <w:ind w:left="120"/>
      <w:jc w:val="left"/>
    </w:pPr>
    <w:rPr>
      <w:kern w:val="0"/>
      <w:sz w:val="24"/>
    </w:rPr>
  </w:style>
  <w:style w:type="character" w:customStyle="1" w:styleId="Char0">
    <w:name w:val="正文文本 Char"/>
    <w:basedOn w:val="a0"/>
    <w:link w:val="a5"/>
    <w:uiPriority w:val="1"/>
    <w:rsid w:val="00A441C1"/>
    <w:rPr>
      <w:rFonts w:ascii="Times New Roman" w:eastAsia="宋体" w:hAnsi="Times New Roman" w:cs="Times New Roman"/>
      <w:kern w:val="0"/>
      <w:sz w:val="24"/>
      <w:szCs w:val="24"/>
    </w:rPr>
  </w:style>
  <w:style w:type="paragraph" w:styleId="a6">
    <w:name w:val="List Paragraph"/>
    <w:basedOn w:val="a"/>
    <w:uiPriority w:val="34"/>
    <w:qFormat/>
    <w:rsid w:val="00A441C1"/>
    <w:pPr>
      <w:ind w:left="720"/>
      <w:contextualSpacing/>
    </w:pPr>
  </w:style>
  <w:style w:type="paragraph" w:styleId="a7">
    <w:name w:val="footnote text"/>
    <w:basedOn w:val="a"/>
    <w:link w:val="Char1"/>
    <w:uiPriority w:val="99"/>
    <w:unhideWhenUsed/>
    <w:rsid w:val="00A441C1"/>
    <w:pPr>
      <w:snapToGrid w:val="0"/>
      <w:jc w:val="left"/>
    </w:pPr>
    <w:rPr>
      <w:sz w:val="18"/>
      <w:szCs w:val="18"/>
    </w:rPr>
  </w:style>
  <w:style w:type="character" w:customStyle="1" w:styleId="Char1">
    <w:name w:val="脚注文本 Char"/>
    <w:basedOn w:val="a0"/>
    <w:link w:val="a7"/>
    <w:uiPriority w:val="99"/>
    <w:rsid w:val="00A441C1"/>
    <w:rPr>
      <w:rFonts w:ascii="Times New Roman" w:eastAsia="宋体" w:hAnsi="Times New Roman" w:cs="Times New Roman"/>
      <w:sz w:val="18"/>
      <w:szCs w:val="18"/>
    </w:rPr>
  </w:style>
  <w:style w:type="character" w:styleId="a8">
    <w:name w:val="footnote reference"/>
    <w:basedOn w:val="a0"/>
    <w:uiPriority w:val="99"/>
    <w:unhideWhenUsed/>
    <w:rsid w:val="00A441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11189</Characters>
  <Application>Microsoft Office Word</Application>
  <DocSecurity>0</DocSecurity>
  <Lines>279</Lines>
  <Paragraphs>93</Paragraphs>
  <ScaleCrop>false</ScaleCrop>
  <Company>Lenovo</Company>
  <LinksUpToDate>false</LinksUpToDate>
  <CharactersWithSpaces>13171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2021-01-26T10:50:00Z</dcterms:created>
  <dc:creator>zqli</dc:creator>
  <lastModifiedBy>zqli</lastModifiedBy>
  <dcterms:modified xsi:type="dcterms:W3CDTF">2021-01-26T10:51:00Z</dcterms:modified>
  <revision>1</revision>
</coreProperties>
</file>