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b/>
          <w:color w:val="000000" w:themeColor="text1"/>
          <w:sz w:val="28"/>
          <w:szCs w:val="28"/>
          <w:lang w:val="en-US" w:eastAsia="zh-CN" w:bidi="ar"/>
        </w:rPr>
      </w:pPr>
      <w:bookmarkStart w:id="0" w:name="_GoBack"/>
      <w:r>
        <w:rPr>
          <w:rFonts w:hint="eastAsia" w:ascii="Times New Roman" w:hAnsi="Times New Roman" w:eastAsia="仿宋_GB2312" w:cs="Times New Roman"/>
          <w:b/>
          <w:color w:val="000000" w:themeColor="text1"/>
          <w:sz w:val="28"/>
          <w:szCs w:val="28"/>
          <w:lang w:val="en-US" w:eastAsia="zh-CN" w:bidi="ar"/>
        </w:rPr>
        <w:t>Annex 3</w:t>
      </w:r>
    </w:p>
    <w:bookmarkEnd w:id="0"/>
    <w:p>
      <w:pPr>
        <w:adjustRightInd w:val="0"/>
        <w:snapToGrid w:val="0"/>
        <w:spacing w:before="200" w:after="200" w:line="288" w:lineRule="auto"/>
        <w:jc w:val="center"/>
        <w:rPr>
          <w:rFonts w:hint="default" w:ascii="Times New Roman" w:hAnsi="Times New Roman" w:eastAsia="仿宋_GB2312" w:cs="Times New Roman"/>
          <w:b/>
          <w:color w:val="000000" w:themeColor="text1"/>
          <w:sz w:val="32"/>
          <w:szCs w:val="32"/>
          <w:lang w:val="en-US" w:eastAsia="zh-CN" w:bidi="ar"/>
        </w:rPr>
      </w:pPr>
      <w:r>
        <w:rPr>
          <w:rFonts w:hint="default" w:ascii="Times New Roman" w:hAnsi="Times New Roman" w:eastAsia="仿宋_GB2312" w:cs="Times New Roman"/>
          <w:b/>
          <w:color w:val="000000" w:themeColor="text1"/>
          <w:sz w:val="32"/>
          <w:szCs w:val="32"/>
          <w:lang w:val="en-US" w:eastAsia="zh-CN" w:bidi="ar"/>
        </w:rPr>
        <w:t>Comparison Table of the Amendments to the Detailed Rules of Zhengzhou Commodity Exchange for Manganese Silicon Futures(for Public Comment)</w:t>
      </w:r>
    </w:p>
    <w:p>
      <w:pPr>
        <w:adjustRightInd w:val="0"/>
        <w:snapToGrid w:val="0"/>
        <w:spacing w:before="200" w:after="200" w:line="288" w:lineRule="auto"/>
        <w:jc w:val="center"/>
        <w:rPr>
          <w:rFonts w:hint="default" w:ascii="Times New Roman" w:hAnsi="Times New Roman" w:eastAsia="仿宋_GB2312" w:cs="Times New Roman"/>
          <w:bCs/>
          <w:color w:val="000000" w:themeColor="text1"/>
          <w:sz w:val="24"/>
          <w:szCs w:val="24"/>
          <w:lang w:val="en-US" w:eastAsia="zh-CN" w:bidi="ar"/>
        </w:rPr>
      </w:pPr>
      <w:r>
        <w:rPr>
          <w:rFonts w:hint="default" w:ascii="Times New Roman" w:hAnsi="Times New Roman" w:eastAsia="仿宋_GB2312" w:cs="Times New Roman"/>
          <w:bCs/>
          <w:color w:val="000000" w:themeColor="text1"/>
          <w:sz w:val="24"/>
          <w:szCs w:val="24"/>
          <w:lang w:val="en-US" w:eastAsia="zh-CN" w:bidi="ar"/>
        </w:rPr>
        <w:t>(</w:t>
      </w:r>
      <w:r>
        <w:rPr>
          <w:rFonts w:ascii="Times New Roman" w:hAnsi="Times New Roman" w:eastAsia="仿宋_GB2312"/>
          <w:bCs/>
          <w:color w:val="000000" w:themeColor="text1"/>
          <w:sz w:val="24"/>
          <w:lang w:bidi="ar"/>
        </w:rPr>
        <w:t>Contents newly added a</w:t>
      </w:r>
      <w:r>
        <w:rPr>
          <w:rFonts w:hint="eastAsia" w:ascii="Times New Roman" w:hAnsi="Times New Roman" w:eastAsia="仿宋_GB2312"/>
          <w:bCs/>
          <w:color w:val="000000" w:themeColor="text1"/>
          <w:sz w:val="24"/>
          <w:lang w:val="en-US" w:eastAsia="zh-CN" w:bidi="ar"/>
        </w:rPr>
        <w:t xml:space="preserve">re </w:t>
      </w:r>
      <w:r>
        <w:rPr>
          <w:rFonts w:hint="default" w:ascii="Times New Roman" w:hAnsi="Times New Roman" w:eastAsia="仿宋_GB2312" w:cs="Times New Roman"/>
          <w:bCs/>
          <w:color w:val="000000" w:themeColor="text1"/>
          <w:sz w:val="24"/>
          <w:szCs w:val="24"/>
          <w:lang w:val="en-US" w:eastAsia="zh-CN" w:bidi="ar"/>
        </w:rPr>
        <w:t xml:space="preserve">shown in bold with underlines; </w:t>
      </w:r>
      <w:r>
        <w:rPr>
          <w:rFonts w:ascii="Times New Roman" w:hAnsi="Times New Roman" w:eastAsia="仿宋_GB2312"/>
          <w:bCs/>
          <w:color w:val="000000" w:themeColor="text1"/>
          <w:sz w:val="24"/>
          <w:lang w:bidi="ar"/>
        </w:rPr>
        <w:t xml:space="preserve">contents deleted are marked </w:t>
      </w:r>
      <w:r>
        <w:rPr>
          <w:rFonts w:hint="default" w:ascii="Times New Roman" w:hAnsi="Times New Roman" w:eastAsia="仿宋_GB2312" w:cs="Times New Roman"/>
          <w:bCs/>
          <w:color w:val="000000" w:themeColor="text1"/>
          <w:sz w:val="24"/>
          <w:szCs w:val="24"/>
          <w:lang w:val="en-US" w:eastAsia="zh-CN" w:bidi="ar"/>
        </w:rPr>
        <w:t>with strikethrough)</w:t>
      </w:r>
    </w:p>
    <w:tbl>
      <w:tblPr>
        <w:tblStyle w:val="8"/>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8"/>
        <w:gridCol w:w="4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188" w:type="dxa"/>
            <w:tcBorders>
              <w:top w:val="single" w:color="auto" w:sz="4" w:space="0"/>
              <w:left w:val="single" w:color="auto" w:sz="4" w:space="0"/>
              <w:bottom w:val="single" w:color="auto" w:sz="4" w:space="0"/>
              <w:right w:val="single" w:color="auto" w:sz="4" w:space="0"/>
            </w:tcBorders>
            <w:noWrap/>
            <w:vAlign w:val="top"/>
          </w:tcPr>
          <w:p>
            <w:pPr>
              <w:adjustRightInd w:val="0"/>
              <w:snapToGrid w:val="0"/>
              <w:spacing w:before="200" w:after="200" w:line="288" w:lineRule="auto"/>
              <w:jc w:val="center"/>
              <w:rPr>
                <w:rFonts w:ascii="仿宋" w:hAnsi="仿宋" w:eastAsia="仿宋"/>
                <w:b/>
                <w:color w:val="000000" w:themeColor="text1"/>
                <w:kern w:val="0"/>
                <w:sz w:val="24"/>
                <w:szCs w:val="24"/>
              </w:rPr>
            </w:pPr>
            <w:r>
              <w:rPr>
                <w:rFonts w:ascii="Times New Roman" w:hAnsi="Times New Roman" w:eastAsia="仿宋_GB2312"/>
                <w:b/>
                <w:bCs/>
                <w:color w:val="000000" w:themeColor="text1"/>
                <w:sz w:val="24"/>
                <w:szCs w:val="24"/>
                <w:lang w:bidi="ar"/>
              </w:rPr>
              <w:t>Original Articles</w:t>
            </w:r>
          </w:p>
        </w:tc>
        <w:tc>
          <w:tcPr>
            <w:tcW w:w="4238" w:type="dxa"/>
            <w:tcBorders>
              <w:top w:val="single" w:color="auto" w:sz="4" w:space="0"/>
              <w:left w:val="single" w:color="auto" w:sz="4" w:space="0"/>
              <w:bottom w:val="single" w:color="auto" w:sz="4" w:space="0"/>
              <w:right w:val="single" w:color="auto" w:sz="4" w:space="0"/>
            </w:tcBorders>
            <w:noWrap/>
            <w:vAlign w:val="top"/>
          </w:tcPr>
          <w:p>
            <w:pPr>
              <w:adjustRightInd w:val="0"/>
              <w:snapToGrid w:val="0"/>
              <w:spacing w:before="200" w:after="200" w:line="288" w:lineRule="auto"/>
              <w:jc w:val="center"/>
              <w:rPr>
                <w:rFonts w:ascii="仿宋" w:hAnsi="仿宋" w:eastAsia="仿宋"/>
                <w:b/>
                <w:color w:val="000000" w:themeColor="text1"/>
                <w:kern w:val="0"/>
                <w:sz w:val="24"/>
                <w:szCs w:val="24"/>
              </w:rPr>
            </w:pPr>
            <w:r>
              <w:rPr>
                <w:rFonts w:ascii="Times New Roman" w:hAnsi="Times New Roman" w:eastAsia="仿宋_GB2312"/>
                <w:b/>
                <w:bCs/>
                <w:color w:val="000000" w:themeColor="text1"/>
                <w:sz w:val="24"/>
                <w:szCs w:val="24"/>
                <w:lang w:bidi="ar"/>
              </w:rPr>
              <w:t>Amended Articles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188" w:type="dxa"/>
            <w:tcBorders>
              <w:top w:val="single" w:color="auto" w:sz="4" w:space="0"/>
              <w:left w:val="single" w:color="auto" w:sz="4" w:space="0"/>
              <w:bottom w:val="single" w:color="auto" w:sz="4" w:space="0"/>
              <w:right w:val="single" w:color="auto" w:sz="4" w:space="0"/>
            </w:tcBorders>
            <w:noWrap/>
            <w:vAlign w:val="top"/>
          </w:tcPr>
          <w:p>
            <w:pPr>
              <w:rPr>
                <w:rFonts w:hint="eastAsia" w:ascii="仿宋" w:hAnsi="仿宋" w:eastAsia="仿宋"/>
                <w:color w:val="000000" w:themeColor="text1"/>
                <w:kern w:val="0"/>
                <w:sz w:val="20"/>
                <w:szCs w:val="20"/>
              </w:rPr>
            </w:pPr>
            <w:r>
              <w:rPr>
                <w:rFonts w:hint="default" w:ascii="Times New Roman" w:hAnsi="Times New Roman" w:eastAsia="仿宋_GB2312" w:cs="Times New Roman"/>
                <w:b/>
                <w:color w:val="000000" w:themeColor="text1"/>
                <w:sz w:val="24"/>
                <w:szCs w:val="24"/>
                <w:lang w:bidi="ar"/>
              </w:rPr>
              <w:t>Article 23</w:t>
            </w:r>
            <w:r>
              <w:rPr>
                <w:rFonts w:hint="default" w:ascii="Times New Roman" w:hAnsi="Times New Roman" w:eastAsia="仿宋_GB2312" w:cs="Times New Roman"/>
                <w:b/>
                <w:color w:val="000000" w:themeColor="text1"/>
                <w:sz w:val="24"/>
                <w:szCs w:val="24"/>
                <w:lang w:bidi="ar"/>
              </w:rPr>
              <w:tab/>
            </w:r>
            <w:r>
              <w:rPr>
                <w:rFonts w:hint="default" w:ascii="Times New Roman" w:hAnsi="Times New Roman" w:eastAsia="仿宋_GB2312" w:cs="Times New Roman"/>
                <w:b w:val="0"/>
                <w:bCs/>
                <w:color w:val="000000" w:themeColor="text1"/>
                <w:sz w:val="24"/>
                <w:szCs w:val="24"/>
                <w:lang w:bidi="ar"/>
              </w:rPr>
              <w:t>The bench</w:t>
            </w:r>
            <w:r>
              <w:rPr>
                <w:rFonts w:hint="default" w:ascii="Times New Roman" w:hAnsi="Times New Roman" w:eastAsia="仿宋" w:cs="Times New Roman"/>
                <w:color w:val="000000" w:themeColor="text1"/>
                <w:kern w:val="0"/>
                <w:sz w:val="24"/>
                <w:szCs w:val="24"/>
              </w:rPr>
              <w:t>mark deliverable is manganese silicon with the designation of FeMn6</w:t>
            </w:r>
            <w:r>
              <w:rPr>
                <w:rFonts w:hint="eastAsia" w:ascii="Times New Roman" w:hAnsi="Times New Roman" w:eastAsia="仿宋" w:cs="Times New Roman"/>
                <w:color w:val="000000" w:themeColor="text1"/>
                <w:kern w:val="0"/>
                <w:sz w:val="24"/>
                <w:szCs w:val="24"/>
                <w:lang w:val="en-US" w:eastAsia="zh-CN"/>
              </w:rPr>
              <w:t>8</w:t>
            </w:r>
            <w:r>
              <w:rPr>
                <w:rFonts w:hint="default" w:ascii="Times New Roman" w:hAnsi="Times New Roman" w:eastAsia="仿宋" w:cs="Times New Roman"/>
                <w:color w:val="000000" w:themeColor="text1"/>
                <w:kern w:val="0"/>
                <w:sz w:val="24"/>
                <w:szCs w:val="24"/>
              </w:rPr>
              <w:t>Si1</w:t>
            </w:r>
            <w:r>
              <w:rPr>
                <w:rFonts w:hint="eastAsia" w:ascii="Times New Roman" w:hAnsi="Times New Roman" w:eastAsia="仿宋" w:cs="Times New Roman"/>
                <w:color w:val="000000" w:themeColor="text1"/>
                <w:kern w:val="0"/>
                <w:sz w:val="24"/>
                <w:szCs w:val="24"/>
                <w:lang w:val="en-US" w:eastAsia="zh-CN"/>
              </w:rPr>
              <w:t>8</w:t>
            </w:r>
            <w:r>
              <w:rPr>
                <w:rFonts w:hint="default" w:ascii="Times New Roman" w:hAnsi="Times New Roman" w:eastAsia="仿宋" w:cs="Times New Roman"/>
                <w:color w:val="000000" w:themeColor="text1"/>
                <w:kern w:val="0"/>
                <w:sz w:val="24"/>
                <w:szCs w:val="24"/>
              </w:rPr>
              <w:t xml:space="preserve"> (manganese ≥ 65.0%, silicon ≥ 17.0%, carbon ≤ 1.8%, phosphorous ≤ 0.25%, sulfur ≤ 0.04%) under </w:t>
            </w:r>
            <w:r>
              <w:rPr>
                <w:rFonts w:hint="default" w:ascii="Times New Roman" w:hAnsi="Times New Roman" w:eastAsia="仿宋" w:cs="Times New Roman"/>
                <w:i/>
                <w:iCs/>
                <w:color w:val="000000" w:themeColor="text1"/>
                <w:kern w:val="0"/>
                <w:sz w:val="24"/>
                <w:szCs w:val="24"/>
              </w:rPr>
              <w:t>National Standard of the People’s Republic</w:t>
            </w:r>
            <w:r>
              <w:rPr>
                <w:rFonts w:hint="eastAsia" w:ascii="Times New Roman" w:hAnsi="Times New Roman" w:eastAsia="仿宋" w:cs="Times New Roman"/>
                <w:i/>
                <w:iCs/>
                <w:color w:val="000000" w:themeColor="text1"/>
                <w:kern w:val="0"/>
                <w:sz w:val="24"/>
                <w:szCs w:val="24"/>
                <w:lang w:val="en-US" w:eastAsia="zh-CN"/>
              </w:rPr>
              <w:t xml:space="preserve"> </w:t>
            </w:r>
            <w:r>
              <w:rPr>
                <w:rFonts w:hint="default" w:ascii="Times New Roman" w:hAnsi="Times New Roman" w:eastAsia="仿宋" w:cs="Times New Roman"/>
                <w:i/>
                <w:iCs/>
                <w:color w:val="000000" w:themeColor="text1"/>
                <w:kern w:val="0"/>
                <w:sz w:val="24"/>
                <w:szCs w:val="24"/>
              </w:rPr>
              <w:t>of China “Ferromanganese-silicon”</w:t>
            </w:r>
            <w:r>
              <w:rPr>
                <w:rFonts w:hint="default" w:ascii="Times New Roman" w:hAnsi="Times New Roman" w:eastAsia="仿宋" w:cs="Times New Roman"/>
                <w:color w:val="000000" w:themeColor="text1"/>
                <w:kern w:val="0"/>
                <w:sz w:val="24"/>
                <w:szCs w:val="24"/>
              </w:rPr>
              <w:t>(GB/T4008-20</w:t>
            </w:r>
            <w:r>
              <w:rPr>
                <w:rFonts w:hint="eastAsia" w:ascii="Times New Roman" w:hAnsi="Times New Roman" w:eastAsia="仿宋" w:cs="Times New Roman"/>
                <w:color w:val="000000" w:themeColor="text1"/>
                <w:kern w:val="0"/>
                <w:sz w:val="24"/>
                <w:szCs w:val="24"/>
                <w:lang w:val="en-US" w:eastAsia="zh-CN"/>
              </w:rPr>
              <w:t>08</w:t>
            </w:r>
            <w:r>
              <w:rPr>
                <w:rFonts w:hint="default" w:ascii="Times New Roman" w:hAnsi="Times New Roman" w:eastAsia="仿宋" w:cs="Times New Roman"/>
                <w:color w:val="000000" w:themeColor="text1"/>
                <w:kern w:val="0"/>
                <w:sz w:val="24"/>
                <w:szCs w:val="24"/>
              </w:rPr>
              <w:t>) with a particle size range of 10-60 mm. Undersize particles and oversize particles shall account for no more than 5% and 8% of a shipment, respectively.</w:t>
            </w:r>
          </w:p>
        </w:tc>
        <w:tc>
          <w:tcPr>
            <w:tcW w:w="4238" w:type="dxa"/>
            <w:tcBorders>
              <w:top w:val="single" w:color="auto" w:sz="4" w:space="0"/>
              <w:left w:val="single" w:color="auto" w:sz="4" w:space="0"/>
              <w:bottom w:val="single" w:color="auto" w:sz="4" w:space="0"/>
              <w:right w:val="single" w:color="auto" w:sz="4" w:space="0"/>
            </w:tcBorders>
            <w:noWrap/>
            <w:vAlign w:val="top"/>
          </w:tcPr>
          <w:p>
            <w:pPr>
              <w:rPr>
                <w:rFonts w:hint="eastAsia" w:ascii="仿宋" w:hAnsi="仿宋" w:eastAsia="仿宋"/>
                <w:color w:val="000000" w:themeColor="text1"/>
                <w:kern w:val="0"/>
                <w:sz w:val="20"/>
                <w:szCs w:val="20"/>
              </w:rPr>
            </w:pPr>
            <w:r>
              <w:rPr>
                <w:rFonts w:hint="default" w:ascii="Times New Roman" w:hAnsi="Times New Roman" w:eastAsia="仿宋_GB2312" w:cs="Times New Roman"/>
                <w:b/>
                <w:color w:val="000000" w:themeColor="text1"/>
                <w:sz w:val="24"/>
                <w:szCs w:val="24"/>
                <w:lang w:bidi="ar"/>
              </w:rPr>
              <w:t>Article 23</w:t>
            </w:r>
            <w:r>
              <w:rPr>
                <w:rFonts w:hint="default" w:ascii="Times New Roman" w:hAnsi="Times New Roman" w:eastAsia="仿宋_GB2312" w:cs="Times New Roman"/>
                <w:b/>
                <w:color w:val="000000" w:themeColor="text1"/>
                <w:sz w:val="24"/>
                <w:szCs w:val="24"/>
                <w:lang w:bidi="ar"/>
              </w:rPr>
              <w:tab/>
            </w:r>
            <w:r>
              <w:rPr>
                <w:rFonts w:hint="default" w:ascii="Times New Roman" w:hAnsi="Times New Roman" w:eastAsia="仿宋_GB2312" w:cs="Times New Roman"/>
                <w:b w:val="0"/>
                <w:bCs/>
                <w:color w:val="000000" w:themeColor="text1"/>
                <w:sz w:val="24"/>
                <w:szCs w:val="24"/>
                <w:lang w:bidi="ar"/>
              </w:rPr>
              <w:t>The bench</w:t>
            </w:r>
            <w:r>
              <w:rPr>
                <w:rFonts w:hint="default" w:ascii="Times New Roman" w:hAnsi="Times New Roman" w:eastAsia="仿宋" w:cs="Times New Roman"/>
                <w:color w:val="000000" w:themeColor="text1"/>
                <w:kern w:val="0"/>
                <w:sz w:val="24"/>
                <w:szCs w:val="24"/>
              </w:rPr>
              <w:t xml:space="preserve">mark deliverable is manganese silicon with the designation of </w:t>
            </w:r>
            <w:r>
              <w:rPr>
                <w:rFonts w:hint="default" w:ascii="Times New Roman" w:hAnsi="Times New Roman" w:eastAsia="仿宋" w:cs="Times New Roman"/>
                <w:strike/>
                <w:dstrike w:val="0"/>
                <w:color w:val="000000" w:themeColor="text1"/>
                <w:kern w:val="0"/>
                <w:sz w:val="24"/>
                <w:szCs w:val="24"/>
              </w:rPr>
              <w:t>FeMn6</w:t>
            </w:r>
            <w:r>
              <w:rPr>
                <w:rFonts w:hint="eastAsia" w:ascii="Times New Roman" w:hAnsi="Times New Roman" w:eastAsia="仿宋" w:cs="Times New Roman"/>
                <w:strike/>
                <w:dstrike w:val="0"/>
                <w:color w:val="000000" w:themeColor="text1"/>
                <w:kern w:val="0"/>
                <w:sz w:val="24"/>
                <w:szCs w:val="24"/>
                <w:lang w:val="en-US" w:eastAsia="zh-CN"/>
              </w:rPr>
              <w:t>8</w:t>
            </w:r>
            <w:r>
              <w:rPr>
                <w:rFonts w:hint="default" w:ascii="Times New Roman" w:hAnsi="Times New Roman" w:eastAsia="仿宋" w:cs="Times New Roman"/>
                <w:strike/>
                <w:dstrike w:val="0"/>
                <w:color w:val="000000" w:themeColor="text1"/>
                <w:kern w:val="0"/>
                <w:sz w:val="24"/>
                <w:szCs w:val="24"/>
              </w:rPr>
              <w:t>Si1</w:t>
            </w:r>
            <w:r>
              <w:rPr>
                <w:rFonts w:hint="eastAsia" w:ascii="Times New Roman" w:hAnsi="Times New Roman" w:eastAsia="仿宋" w:cs="Times New Roman"/>
                <w:strike/>
                <w:dstrike w:val="0"/>
                <w:color w:val="000000" w:themeColor="text1"/>
                <w:kern w:val="0"/>
                <w:sz w:val="24"/>
                <w:szCs w:val="24"/>
                <w:lang w:val="en-US" w:eastAsia="zh-CN"/>
              </w:rPr>
              <w:t>8</w:t>
            </w:r>
            <w:r>
              <w:rPr>
                <w:rFonts w:hint="default" w:ascii="Times New Roman" w:hAnsi="Times New Roman" w:eastAsia="仿宋" w:cs="Times New Roman"/>
                <w:b/>
                <w:bCs/>
                <w:color w:val="000000" w:themeColor="text1"/>
                <w:kern w:val="0"/>
                <w:sz w:val="24"/>
                <w:szCs w:val="24"/>
                <w:u w:val="single"/>
              </w:rPr>
              <w:t>FeMn65Si17</w:t>
            </w:r>
            <w:r>
              <w:rPr>
                <w:rFonts w:hint="default" w:ascii="Times New Roman" w:hAnsi="Times New Roman" w:eastAsia="仿宋" w:cs="Times New Roman"/>
                <w:color w:val="000000" w:themeColor="text1"/>
                <w:kern w:val="0"/>
                <w:sz w:val="24"/>
                <w:szCs w:val="24"/>
              </w:rPr>
              <w:t xml:space="preserve"> (manganese ≥ 65.0%, silicon ≥ 17.0%, carbon ≤ 1.8%, phosphorous ≤ 0.25%, sulfur ≤ 0.04%) under </w:t>
            </w:r>
            <w:r>
              <w:rPr>
                <w:rFonts w:hint="default" w:ascii="Times New Roman" w:hAnsi="Times New Roman" w:eastAsia="仿宋" w:cs="Times New Roman"/>
                <w:i/>
                <w:iCs/>
                <w:color w:val="000000" w:themeColor="text1"/>
                <w:kern w:val="0"/>
                <w:sz w:val="24"/>
                <w:szCs w:val="24"/>
              </w:rPr>
              <w:t>National Standard of the People’s Republic of China “Ferromanganese-silicon”</w:t>
            </w:r>
            <w:r>
              <w:rPr>
                <w:rFonts w:hint="default" w:ascii="Times New Roman" w:hAnsi="Times New Roman" w:eastAsia="仿宋" w:cs="Times New Roman"/>
                <w:color w:val="000000" w:themeColor="text1"/>
                <w:kern w:val="0"/>
                <w:sz w:val="24"/>
                <w:szCs w:val="24"/>
              </w:rPr>
              <w:t>(GB/T4008-</w:t>
            </w:r>
            <w:r>
              <w:rPr>
                <w:rFonts w:hint="default" w:ascii="Times New Roman" w:hAnsi="Times New Roman" w:eastAsia="仿宋" w:cs="Times New Roman"/>
                <w:strike/>
                <w:dstrike w:val="0"/>
                <w:color w:val="000000" w:themeColor="text1"/>
                <w:kern w:val="0"/>
                <w:sz w:val="24"/>
                <w:szCs w:val="24"/>
              </w:rPr>
              <w:t>20</w:t>
            </w:r>
            <w:r>
              <w:rPr>
                <w:rFonts w:hint="eastAsia" w:ascii="Times New Roman" w:hAnsi="Times New Roman" w:eastAsia="仿宋" w:cs="Times New Roman"/>
                <w:strike/>
                <w:dstrike w:val="0"/>
                <w:color w:val="000000" w:themeColor="text1"/>
                <w:kern w:val="0"/>
                <w:sz w:val="24"/>
                <w:szCs w:val="24"/>
                <w:lang w:val="en-US" w:eastAsia="zh-CN"/>
              </w:rPr>
              <w:t>08</w:t>
            </w:r>
            <w:r>
              <w:rPr>
                <w:rFonts w:hint="eastAsia" w:ascii="Times New Roman" w:hAnsi="Times New Roman" w:eastAsia="仿宋" w:cs="Times New Roman"/>
                <w:b/>
                <w:bCs/>
                <w:strike w:val="0"/>
                <w:dstrike w:val="0"/>
                <w:color w:val="000000" w:themeColor="text1"/>
                <w:kern w:val="0"/>
                <w:sz w:val="24"/>
                <w:szCs w:val="24"/>
                <w:u w:val="single"/>
                <w:lang w:val="en-US" w:eastAsia="zh-CN"/>
              </w:rPr>
              <w:t>2024</w:t>
            </w:r>
            <w:r>
              <w:rPr>
                <w:rFonts w:hint="default" w:ascii="Times New Roman" w:hAnsi="Times New Roman" w:eastAsia="仿宋" w:cs="Times New Roman"/>
                <w:color w:val="000000" w:themeColor="text1"/>
                <w:kern w:val="0"/>
                <w:sz w:val="24"/>
                <w:szCs w:val="24"/>
              </w:rPr>
              <w:t>) with a particle size range of 10-60 mm. Undersize particles and oversize particles shall account for no more than 5% and 8% of a shipment, respectively.</w:t>
            </w:r>
            <w:r>
              <w:rPr>
                <w:rFonts w:hint="default" w:ascii="仿宋" w:hAnsi="仿宋" w:eastAsia="仿宋"/>
                <w:color w:val="000000" w:themeColor="text1"/>
                <w:kern w:val="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188" w:type="dxa"/>
            <w:tcBorders>
              <w:top w:val="single" w:color="auto" w:sz="4" w:space="0"/>
              <w:left w:val="single" w:color="auto" w:sz="4" w:space="0"/>
              <w:bottom w:val="single" w:color="auto" w:sz="4" w:space="0"/>
              <w:right w:val="single" w:color="auto" w:sz="4" w:space="0"/>
            </w:tcBorders>
            <w:noWrap/>
            <w:vAlign w:val="center"/>
          </w:tcPr>
          <w:p>
            <w:pPr>
              <w:widowControl/>
              <w:spacing w:after="312" w:line="239" w:lineRule="atLeast"/>
              <w:rPr>
                <w:rFonts w:ascii="Calibri" w:hAnsi="Calibri" w:eastAsia="宋体" w:cs="Calibri"/>
                <w:color w:val="000000" w:themeColor="text1"/>
                <w:kern w:val="0"/>
                <w:szCs w:val="21"/>
              </w:rPr>
            </w:pPr>
            <w:r>
              <w:rPr>
                <w:rFonts w:hint="default" w:ascii="Times New Roman" w:hAnsi="Times New Roman" w:eastAsia="仿宋_GB2312" w:cs="Times New Roman"/>
                <w:b/>
                <w:color w:val="000000" w:themeColor="text1"/>
                <w:sz w:val="24"/>
                <w:szCs w:val="24"/>
                <w:lang w:bidi="ar"/>
              </w:rPr>
              <w:t xml:space="preserve">Article </w:t>
            </w:r>
            <w:r>
              <w:rPr>
                <w:rFonts w:hint="eastAsia" w:ascii="Times New Roman" w:hAnsi="Times New Roman" w:eastAsia="仿宋_GB2312" w:cs="Times New Roman"/>
                <w:b/>
                <w:color w:val="000000" w:themeColor="text1"/>
                <w:sz w:val="24"/>
                <w:szCs w:val="24"/>
                <w:lang w:val="en-US" w:eastAsia="zh-CN" w:bidi="ar"/>
              </w:rPr>
              <w:t xml:space="preserve">30 </w:t>
            </w:r>
            <w:r>
              <w:rPr>
                <w:rFonts w:ascii="Times New Roman" w:hAnsi="Times New Roman" w:eastAsia="宋体" w:cs="Times New Roman"/>
                <w:color w:val="000000" w:themeColor="text1"/>
                <w:kern w:val="0"/>
                <w:sz w:val="24"/>
                <w:szCs w:val="24"/>
              </w:rPr>
              <w:t xml:space="preserve">The sampling, sample preparation, </w:t>
            </w:r>
            <w:r>
              <w:rPr>
                <w:rFonts w:hint="eastAsia" w:ascii="Times New Roman" w:hAnsi="Times New Roman" w:eastAsia="宋体" w:cs="Times New Roman"/>
                <w:color w:val="000000" w:themeColor="text1"/>
                <w:kern w:val="0"/>
                <w:sz w:val="24"/>
                <w:szCs w:val="24"/>
              </w:rPr>
              <w:t>quality inspection</w:t>
            </w:r>
            <w:r>
              <w:rPr>
                <w:rFonts w:ascii="Times New Roman" w:hAnsi="Times New Roman" w:eastAsia="宋体" w:cs="Times New Roman"/>
                <w:color w:val="000000" w:themeColor="text1"/>
                <w:kern w:val="0"/>
                <w:sz w:val="24"/>
                <w:szCs w:val="24"/>
              </w:rPr>
              <w:t>, and particle size measurement of the manganese silicon for load-in is to be conducted by a Designated Quality Inspection Agency in accordance with national standards. The relevant delivery warehouse shall provide cooperation and the inspection fees of the Designated Quality Inspection Agency as well as the inspection supporting service fees of the delivery warehouse shall be borne by the registrant of the corresponding standard warehouse receipts.</w:t>
            </w:r>
          </w:p>
          <w:p>
            <w:pPr>
              <w:widowControl/>
              <w:spacing w:after="312" w:line="239" w:lineRule="atLeast"/>
              <w:rPr>
                <w:rFonts w:ascii="Calibri" w:hAnsi="Calibri" w:eastAsia="宋体" w:cs="Calibri"/>
                <w:color w:val="000000" w:themeColor="text1"/>
                <w:kern w:val="0"/>
                <w:szCs w:val="21"/>
              </w:rPr>
            </w:pPr>
            <w:r>
              <w:rPr>
                <w:rFonts w:ascii="Times New Roman" w:hAnsi="Times New Roman" w:eastAsia="宋体" w:cs="Times New Roman"/>
                <w:color w:val="000000" w:themeColor="text1"/>
                <w:kern w:val="0"/>
                <w:sz w:val="24"/>
                <w:szCs w:val="24"/>
              </w:rPr>
              <w:t xml:space="preserve">The Designated Quality Inspection Agency shall issue and notify the delivery warehouse of the inspection results within </w:t>
            </w:r>
            <w:r>
              <w:rPr>
                <w:rFonts w:hint="eastAsia" w:ascii="Times New Roman" w:hAnsi="Times New Roman" w:eastAsia="宋体" w:cs="Times New Roman"/>
                <w:color w:val="000000" w:themeColor="text1"/>
                <w:kern w:val="0"/>
                <w:sz w:val="24"/>
                <w:szCs w:val="24"/>
              </w:rPr>
              <w:t>seven</w:t>
            </w:r>
            <w:r>
              <w:rPr>
                <w:rFonts w:ascii="Times New Roman" w:hAnsi="Times New Roman" w:eastAsia="宋体" w:cs="Times New Roman"/>
                <w:color w:val="000000" w:themeColor="text1"/>
                <w:kern w:val="0"/>
                <w:sz w:val="24"/>
                <w:szCs w:val="24"/>
              </w:rPr>
              <w:t xml:space="preserve"> (7) business days of completing the sampling process.</w:t>
            </w:r>
          </w:p>
          <w:p>
            <w:pPr>
              <w:widowControl/>
              <w:spacing w:after="312" w:line="239" w:lineRule="atLeast"/>
              <w:rPr>
                <w:rFonts w:hint="eastAsia" w:ascii="仿宋" w:hAnsi="仿宋" w:eastAsia="仿宋"/>
                <w:color w:val="000000" w:themeColor="text1"/>
                <w:kern w:val="0"/>
                <w:sz w:val="20"/>
                <w:szCs w:val="20"/>
              </w:rPr>
            </w:pPr>
            <w:r>
              <w:rPr>
                <w:rFonts w:ascii="Times New Roman" w:hAnsi="Times New Roman" w:eastAsia="宋体" w:cs="Times New Roman"/>
                <w:color w:val="000000" w:themeColor="text1"/>
                <w:kern w:val="0"/>
                <w:sz w:val="24"/>
                <w:szCs w:val="24"/>
              </w:rPr>
              <w:t>Any registrant or delivery warehouse that objects to the results of load-in quality inspection may request the Exchange for a re-inspection. The specific procedures are governed by the “Load-in Re-inspection of Delivery Warehouse Commodities” section under the</w:t>
            </w:r>
            <w:r>
              <w:rPr>
                <w:rFonts w:hint="eastAsia" w:ascii="宋体" w:hAnsi="宋体" w:eastAsia="宋体" w:cs="Calibri"/>
                <w:color w:val="000000" w:themeColor="text1"/>
                <w:kern w:val="0"/>
                <w:sz w:val="24"/>
                <w:szCs w:val="24"/>
              </w:rPr>
              <w:t xml:space="preserve"> </w:t>
            </w:r>
            <w:r>
              <w:rPr>
                <w:rFonts w:ascii="Times New Roman" w:hAnsi="Times New Roman" w:eastAsia="宋体" w:cs="Times New Roman"/>
                <w:i/>
                <w:iCs/>
                <w:color w:val="000000" w:themeColor="text1"/>
                <w:kern w:val="0"/>
                <w:sz w:val="24"/>
                <w:szCs w:val="24"/>
              </w:rPr>
              <w:t>Rules of Zhengzhou Commodity Exchange on Standard Warehouse Receipts</w:t>
            </w:r>
            <w:r>
              <w:rPr>
                <w:rFonts w:ascii="Times New Roman" w:hAnsi="Times New Roman" w:eastAsia="宋体" w:cs="Times New Roman"/>
                <w:color w:val="000000" w:themeColor="text1"/>
                <w:kern w:val="0"/>
                <w:sz w:val="24"/>
                <w:szCs w:val="24"/>
              </w:rPr>
              <w:t>.</w:t>
            </w:r>
          </w:p>
        </w:tc>
        <w:tc>
          <w:tcPr>
            <w:tcW w:w="4238" w:type="dxa"/>
            <w:tcBorders>
              <w:top w:val="single" w:color="auto" w:sz="4" w:space="0"/>
              <w:left w:val="single" w:color="auto" w:sz="4" w:space="0"/>
              <w:bottom w:val="single" w:color="auto" w:sz="4" w:space="0"/>
              <w:right w:val="single" w:color="auto" w:sz="4" w:space="0"/>
            </w:tcBorders>
            <w:noWrap/>
            <w:vAlign w:val="center"/>
          </w:tcPr>
          <w:p>
            <w:pPr>
              <w:widowControl/>
              <w:spacing w:after="312" w:line="239" w:lineRule="atLeast"/>
              <w:rPr>
                <w:rFonts w:hint="default" w:ascii="Times New Roman" w:hAnsi="Times New Roman" w:eastAsia="仿宋_GB2312" w:cs="Times New Roman"/>
                <w:b w:val="0"/>
                <w:bCs/>
                <w:color w:val="000000" w:themeColor="text1"/>
                <w:sz w:val="24"/>
                <w:szCs w:val="24"/>
                <w:lang w:bidi="ar"/>
              </w:rPr>
            </w:pPr>
            <w:r>
              <w:rPr>
                <w:rFonts w:hint="default" w:ascii="Times New Roman" w:hAnsi="Times New Roman" w:eastAsia="仿宋_GB2312" w:cs="Times New Roman"/>
                <w:b/>
                <w:color w:val="000000" w:themeColor="text1"/>
                <w:sz w:val="24"/>
                <w:szCs w:val="24"/>
                <w:lang w:bidi="ar"/>
              </w:rPr>
              <w:t xml:space="preserve">Article </w:t>
            </w:r>
            <w:r>
              <w:rPr>
                <w:rFonts w:hint="eastAsia" w:ascii="Times New Roman" w:hAnsi="Times New Roman" w:eastAsia="仿宋_GB2312" w:cs="Times New Roman"/>
                <w:b/>
                <w:color w:val="000000" w:themeColor="text1"/>
                <w:sz w:val="24"/>
                <w:szCs w:val="24"/>
                <w:lang w:val="en-US" w:eastAsia="zh-CN" w:bidi="ar"/>
              </w:rPr>
              <w:t xml:space="preserve">30 </w:t>
            </w:r>
            <w:r>
              <w:rPr>
                <w:rFonts w:hint="eastAsia" w:ascii="Times New Roman" w:hAnsi="Times New Roman" w:eastAsia="仿宋_GB2312" w:cs="Times New Roman"/>
                <w:b w:val="0"/>
                <w:bCs/>
                <w:color w:val="000000" w:themeColor="text1"/>
                <w:sz w:val="24"/>
                <w:szCs w:val="24"/>
                <w:lang w:val="en-US" w:eastAsia="zh-CN" w:bidi="ar"/>
              </w:rPr>
              <w:t xml:space="preserve">The sampling, sample preparation, </w:t>
            </w:r>
            <w:r>
              <w:rPr>
                <w:rFonts w:hint="eastAsia" w:ascii="Times New Roman" w:hAnsi="Times New Roman" w:eastAsia="仿宋_GB2312" w:cs="Times New Roman"/>
                <w:b w:val="0"/>
                <w:bCs/>
                <w:strike/>
                <w:dstrike w:val="0"/>
                <w:color w:val="000000" w:themeColor="text1"/>
                <w:sz w:val="24"/>
                <w:szCs w:val="24"/>
                <w:lang w:val="en-US" w:eastAsia="zh-CN" w:bidi="ar"/>
              </w:rPr>
              <w:t>quality inspection</w:t>
            </w:r>
            <w:r>
              <w:rPr>
                <w:rFonts w:ascii="Times New Roman" w:hAnsi="Times New Roman" w:eastAsia="宋体" w:cs="Times New Roman"/>
                <w:b/>
                <w:bCs/>
                <w:color w:val="000000" w:themeColor="text1"/>
                <w:kern w:val="0"/>
                <w:sz w:val="24"/>
                <w:szCs w:val="24"/>
                <w:u w:val="single"/>
              </w:rPr>
              <w:t>elemental</w:t>
            </w:r>
            <w:r>
              <w:rPr>
                <w:rFonts w:hint="eastAsia" w:ascii="Times New Roman" w:hAnsi="Times New Roman" w:eastAsia="宋体" w:cs="Times New Roman"/>
                <w:b/>
                <w:bCs/>
                <w:color w:val="000000" w:themeColor="text1"/>
                <w:kern w:val="0"/>
                <w:sz w:val="24"/>
                <w:szCs w:val="24"/>
                <w:u w:val="single"/>
              </w:rPr>
              <w:t xml:space="preserve"> analysis</w:t>
            </w:r>
            <w:r>
              <w:rPr>
                <w:rFonts w:hint="eastAsia" w:ascii="Times New Roman" w:hAnsi="Times New Roman" w:eastAsia="仿宋_GB2312" w:cs="Times New Roman"/>
                <w:b w:val="0"/>
                <w:bCs/>
                <w:color w:val="000000" w:themeColor="text1"/>
                <w:sz w:val="24"/>
                <w:szCs w:val="24"/>
                <w:lang w:val="en-US" w:eastAsia="zh-CN" w:bidi="ar"/>
              </w:rPr>
              <w:t>, and particle size measurement of the manganese silicon for load-in is to be conducted by a Designated Quality Inspection Agency</w:t>
            </w:r>
            <w:r>
              <w:rPr>
                <w:rFonts w:hint="eastAsia" w:ascii="Times New Roman" w:hAnsi="Times New Roman" w:eastAsia="仿宋_GB2312" w:cs="Times New Roman"/>
                <w:b w:val="0"/>
                <w:bCs/>
                <w:strike/>
                <w:dstrike w:val="0"/>
                <w:color w:val="000000" w:themeColor="text1"/>
                <w:sz w:val="24"/>
                <w:szCs w:val="24"/>
                <w:lang w:val="en-US" w:eastAsia="zh-CN" w:bidi="ar"/>
              </w:rPr>
              <w:t xml:space="preserve"> in accordance with national standards</w:t>
            </w:r>
            <w:r>
              <w:rPr>
                <w:rFonts w:hint="eastAsia" w:ascii="Times New Roman" w:hAnsi="Times New Roman" w:eastAsia="仿宋_GB2312" w:cs="Times New Roman"/>
                <w:b w:val="0"/>
                <w:bCs/>
                <w:color w:val="000000" w:themeColor="text1"/>
                <w:sz w:val="24"/>
                <w:szCs w:val="24"/>
                <w:lang w:val="en-US" w:eastAsia="zh-CN" w:bidi="ar"/>
              </w:rPr>
              <w:t xml:space="preserve">. </w:t>
            </w:r>
            <w:r>
              <w:rPr>
                <w:rFonts w:hint="eastAsia" w:ascii="Times New Roman" w:hAnsi="Times New Roman" w:eastAsia="宋体" w:cs="Times New Roman"/>
                <w:b/>
                <w:bCs/>
                <w:color w:val="000000" w:themeColor="text1"/>
                <w:kern w:val="0"/>
                <w:sz w:val="24"/>
                <w:szCs w:val="24"/>
                <w:u w:val="single"/>
              </w:rPr>
              <w:t xml:space="preserve">Upon confirmation by the </w:t>
            </w:r>
            <w:r>
              <w:rPr>
                <w:rFonts w:ascii="Times New Roman" w:hAnsi="Times New Roman" w:eastAsia="宋体" w:cs="Times New Roman"/>
                <w:b/>
                <w:bCs/>
                <w:color w:val="000000" w:themeColor="text1"/>
                <w:kern w:val="0"/>
                <w:sz w:val="24"/>
                <w:szCs w:val="24"/>
                <w:u w:val="single"/>
              </w:rPr>
              <w:t>registrant of the corresponding standard warehouse receipts</w:t>
            </w:r>
            <w:r>
              <w:rPr>
                <w:rFonts w:hint="eastAsia" w:ascii="Times New Roman" w:hAnsi="Times New Roman" w:eastAsia="宋体" w:cs="Times New Roman"/>
                <w:b/>
                <w:bCs/>
                <w:color w:val="000000" w:themeColor="text1"/>
                <w:kern w:val="0"/>
                <w:sz w:val="24"/>
                <w:szCs w:val="24"/>
                <w:u w:val="single"/>
              </w:rPr>
              <w:t xml:space="preserve"> and the relevant delivery warehouse, the sampling and particle size</w:t>
            </w:r>
            <w:r>
              <w:rPr>
                <w:b/>
                <w:bCs/>
                <w:color w:val="000000" w:themeColor="text1"/>
                <w:u w:val="single"/>
              </w:rPr>
              <w:t xml:space="preserve"> </w:t>
            </w:r>
            <w:r>
              <w:rPr>
                <w:rFonts w:ascii="Times New Roman" w:hAnsi="Times New Roman" w:eastAsia="宋体" w:cs="Times New Roman"/>
                <w:b/>
                <w:bCs/>
                <w:color w:val="000000" w:themeColor="text1"/>
                <w:kern w:val="0"/>
                <w:sz w:val="24"/>
                <w:szCs w:val="24"/>
                <w:u w:val="single"/>
              </w:rPr>
              <w:t>measurement</w:t>
            </w:r>
            <w:r>
              <w:rPr>
                <w:rFonts w:hint="eastAsia" w:ascii="Times New Roman" w:hAnsi="Times New Roman" w:eastAsia="宋体" w:cs="Times New Roman"/>
                <w:b/>
                <w:bCs/>
                <w:color w:val="000000" w:themeColor="text1"/>
                <w:kern w:val="0"/>
                <w:sz w:val="24"/>
                <w:szCs w:val="24"/>
                <w:u w:val="single"/>
              </w:rPr>
              <w:t xml:space="preserve"> may</w:t>
            </w:r>
            <w:r>
              <w:rPr>
                <w:rFonts w:ascii="Times New Roman" w:hAnsi="Times New Roman" w:eastAsia="宋体" w:cs="Times New Roman"/>
                <w:b/>
                <w:bCs/>
                <w:color w:val="000000" w:themeColor="text1"/>
                <w:kern w:val="0"/>
                <w:sz w:val="24"/>
                <w:szCs w:val="24"/>
                <w:u w:val="single"/>
              </w:rPr>
              <w:t xml:space="preserve"> also be</w:t>
            </w:r>
            <w:r>
              <w:rPr>
                <w:rFonts w:hint="eastAsia" w:ascii="Times New Roman" w:hAnsi="Times New Roman" w:eastAsia="宋体" w:cs="Times New Roman"/>
                <w:b/>
                <w:bCs/>
                <w:color w:val="000000" w:themeColor="text1"/>
                <w:kern w:val="0"/>
                <w:sz w:val="24"/>
                <w:szCs w:val="24"/>
                <w:u w:val="single"/>
              </w:rPr>
              <w:t xml:space="preserve"> conducted by the delivery warehouse in accordance with national standards.</w:t>
            </w:r>
            <w:r>
              <w:rPr>
                <w:rFonts w:hint="eastAsia" w:ascii="Times New Roman" w:hAnsi="Times New Roman" w:eastAsia="仿宋_GB2312" w:cs="Times New Roman"/>
                <w:b w:val="0"/>
                <w:bCs/>
                <w:color w:val="000000" w:themeColor="text1"/>
                <w:sz w:val="24"/>
                <w:szCs w:val="24"/>
                <w:lang w:val="en-US" w:eastAsia="zh-CN" w:bidi="ar"/>
              </w:rPr>
              <w:t xml:space="preserve">The </w:t>
            </w:r>
            <w:r>
              <w:rPr>
                <w:rFonts w:hint="eastAsia" w:ascii="Times New Roman" w:hAnsi="Times New Roman" w:eastAsia="仿宋_GB2312" w:cs="Times New Roman"/>
                <w:b w:val="0"/>
                <w:bCs/>
                <w:strike/>
                <w:dstrike w:val="0"/>
                <w:color w:val="000000" w:themeColor="text1"/>
                <w:sz w:val="24"/>
                <w:szCs w:val="24"/>
                <w:lang w:val="en-US" w:eastAsia="zh-CN" w:bidi="ar"/>
              </w:rPr>
              <w:t xml:space="preserve">relevant delivery warehouse shall provide cooperation and the </w:t>
            </w:r>
            <w:r>
              <w:rPr>
                <w:rFonts w:hint="eastAsia" w:ascii="Times New Roman" w:hAnsi="Times New Roman" w:eastAsia="仿宋_GB2312" w:cs="Times New Roman"/>
                <w:b w:val="0"/>
                <w:bCs/>
                <w:color w:val="000000" w:themeColor="text1"/>
                <w:sz w:val="24"/>
                <w:szCs w:val="24"/>
                <w:lang w:val="en-US" w:eastAsia="zh-CN" w:bidi="ar"/>
              </w:rPr>
              <w:t xml:space="preserve">inspection fees of the Designated Quality Inspection Agency as well as the inspection supporting service fees of the delivery warehouse shall be borne by the registrant </w:t>
            </w:r>
            <w:r>
              <w:rPr>
                <w:rFonts w:hint="eastAsia" w:ascii="Times New Roman" w:hAnsi="Times New Roman" w:eastAsia="仿宋_GB2312" w:cs="Times New Roman"/>
                <w:b w:val="0"/>
                <w:bCs/>
                <w:strike/>
                <w:dstrike w:val="0"/>
                <w:color w:val="000000" w:themeColor="text1"/>
                <w:sz w:val="24"/>
                <w:szCs w:val="24"/>
                <w:lang w:val="en-US" w:eastAsia="zh-CN" w:bidi="ar"/>
              </w:rPr>
              <w:t>of the corresponding standard warehouse receipts</w:t>
            </w:r>
            <w:r>
              <w:rPr>
                <w:rFonts w:hint="eastAsia" w:ascii="Times New Roman" w:hAnsi="Times New Roman" w:eastAsia="仿宋_GB2312" w:cs="Times New Roman"/>
                <w:b w:val="0"/>
                <w:bCs/>
                <w:color w:val="000000" w:themeColor="text1"/>
                <w:sz w:val="24"/>
                <w:szCs w:val="24"/>
                <w:lang w:val="en-US" w:eastAsia="zh-CN" w:bidi="ar"/>
              </w:rPr>
              <w:t>.</w:t>
            </w:r>
          </w:p>
          <w:p>
            <w:pPr>
              <w:widowControl/>
              <w:spacing w:after="312" w:line="239" w:lineRule="atLeast"/>
              <w:rPr>
                <w:rFonts w:ascii="Calibri" w:hAnsi="Calibri" w:eastAsia="宋体" w:cs="Calibri"/>
                <w:color w:val="000000" w:themeColor="text1"/>
                <w:kern w:val="0"/>
                <w:szCs w:val="21"/>
              </w:rPr>
            </w:pPr>
            <w:r>
              <w:rPr>
                <w:rFonts w:ascii="Times New Roman" w:hAnsi="Times New Roman" w:eastAsia="宋体" w:cs="Times New Roman"/>
                <w:strike/>
                <w:dstrike w:val="0"/>
                <w:color w:val="000000" w:themeColor="text1"/>
                <w:kern w:val="0"/>
                <w:sz w:val="24"/>
                <w:szCs w:val="24"/>
              </w:rPr>
              <w:t xml:space="preserve">The Designated Quality Inspection Agency shall issue and notify the delivery warehouse of the inspection results within </w:t>
            </w:r>
            <w:r>
              <w:rPr>
                <w:rFonts w:hint="eastAsia" w:ascii="Times New Roman" w:hAnsi="Times New Roman" w:eastAsia="宋体" w:cs="Times New Roman"/>
                <w:strike/>
                <w:dstrike w:val="0"/>
                <w:color w:val="000000" w:themeColor="text1"/>
                <w:kern w:val="0"/>
                <w:sz w:val="24"/>
                <w:szCs w:val="24"/>
              </w:rPr>
              <w:t>seven</w:t>
            </w:r>
            <w:r>
              <w:rPr>
                <w:rFonts w:ascii="Times New Roman" w:hAnsi="Times New Roman" w:eastAsia="宋体" w:cs="Times New Roman"/>
                <w:strike/>
                <w:dstrike w:val="0"/>
                <w:color w:val="000000" w:themeColor="text1"/>
                <w:kern w:val="0"/>
                <w:sz w:val="24"/>
                <w:szCs w:val="24"/>
              </w:rPr>
              <w:t xml:space="preserve"> (7) business days of completing the sampling process.</w:t>
            </w:r>
            <w:r>
              <w:rPr>
                <w:rFonts w:ascii="Times New Roman" w:hAnsi="Times New Roman" w:eastAsia="宋体" w:cs="Times New Roman"/>
                <w:b/>
                <w:bCs/>
                <w:color w:val="000000" w:themeColor="text1"/>
                <w:kern w:val="0"/>
                <w:sz w:val="24"/>
                <w:szCs w:val="24"/>
                <w:u w:val="single"/>
              </w:rPr>
              <w:t xml:space="preserve">The inspection results shall </w:t>
            </w:r>
            <w:r>
              <w:rPr>
                <w:rFonts w:hint="eastAsia" w:ascii="Times New Roman" w:hAnsi="Times New Roman" w:eastAsia="宋体" w:cs="Times New Roman"/>
                <w:b/>
                <w:bCs/>
                <w:color w:val="000000" w:themeColor="text1"/>
                <w:kern w:val="0"/>
                <w:sz w:val="24"/>
                <w:szCs w:val="24"/>
                <w:u w:val="single"/>
              </w:rPr>
              <w:t xml:space="preserve">be </w:t>
            </w:r>
            <w:r>
              <w:rPr>
                <w:rFonts w:ascii="Times New Roman" w:hAnsi="Times New Roman" w:eastAsia="宋体" w:cs="Times New Roman"/>
                <w:b/>
                <w:bCs/>
                <w:color w:val="000000" w:themeColor="text1"/>
                <w:kern w:val="0"/>
                <w:sz w:val="24"/>
                <w:szCs w:val="24"/>
                <w:u w:val="single"/>
              </w:rPr>
              <w:t>issue</w:t>
            </w:r>
            <w:r>
              <w:rPr>
                <w:rFonts w:hint="eastAsia" w:ascii="Times New Roman" w:hAnsi="Times New Roman" w:eastAsia="宋体" w:cs="Times New Roman"/>
                <w:b/>
                <w:bCs/>
                <w:color w:val="000000" w:themeColor="text1"/>
                <w:kern w:val="0"/>
                <w:sz w:val="24"/>
                <w:szCs w:val="24"/>
                <w:u w:val="single"/>
              </w:rPr>
              <w:t>d</w:t>
            </w:r>
            <w:r>
              <w:rPr>
                <w:rFonts w:ascii="Times New Roman" w:hAnsi="Times New Roman" w:eastAsia="宋体" w:cs="Times New Roman"/>
                <w:b/>
                <w:bCs/>
                <w:color w:val="000000" w:themeColor="text1"/>
                <w:kern w:val="0"/>
                <w:sz w:val="24"/>
                <w:szCs w:val="24"/>
                <w:u w:val="single"/>
              </w:rPr>
              <w:t xml:space="preserve"> within </w:t>
            </w:r>
            <w:r>
              <w:rPr>
                <w:rFonts w:hint="eastAsia" w:ascii="Times New Roman" w:hAnsi="Times New Roman" w:eastAsia="宋体" w:cs="Times New Roman"/>
                <w:b/>
                <w:bCs/>
                <w:color w:val="000000" w:themeColor="text1"/>
                <w:kern w:val="0"/>
                <w:sz w:val="24"/>
                <w:szCs w:val="24"/>
                <w:u w:val="single"/>
              </w:rPr>
              <w:t>seven</w:t>
            </w:r>
            <w:r>
              <w:rPr>
                <w:rFonts w:ascii="Times New Roman" w:hAnsi="Times New Roman" w:eastAsia="宋体" w:cs="Times New Roman"/>
                <w:b/>
                <w:bCs/>
                <w:color w:val="000000" w:themeColor="text1"/>
                <w:kern w:val="0"/>
                <w:sz w:val="24"/>
                <w:szCs w:val="24"/>
                <w:u w:val="single"/>
              </w:rPr>
              <w:t xml:space="preserve"> (7) business days </w:t>
            </w:r>
            <w:r>
              <w:rPr>
                <w:rFonts w:hint="eastAsia" w:ascii="Times New Roman" w:hAnsi="Times New Roman" w:eastAsia="宋体" w:cs="Times New Roman"/>
                <w:b/>
                <w:bCs/>
                <w:color w:val="000000" w:themeColor="text1"/>
                <w:kern w:val="0"/>
                <w:sz w:val="24"/>
                <w:szCs w:val="24"/>
                <w:u w:val="single"/>
              </w:rPr>
              <w:t xml:space="preserve">from the day of </w:t>
            </w:r>
            <w:r>
              <w:rPr>
                <w:rFonts w:ascii="Times New Roman" w:hAnsi="Times New Roman" w:eastAsia="宋体" w:cs="Times New Roman"/>
                <w:b/>
                <w:bCs/>
                <w:color w:val="000000" w:themeColor="text1"/>
                <w:kern w:val="0"/>
                <w:sz w:val="24"/>
                <w:szCs w:val="24"/>
                <w:u w:val="single"/>
              </w:rPr>
              <w:t>completi</w:t>
            </w:r>
            <w:r>
              <w:rPr>
                <w:rFonts w:hint="eastAsia" w:ascii="Times New Roman" w:hAnsi="Times New Roman" w:eastAsia="宋体" w:cs="Times New Roman"/>
                <w:b/>
                <w:bCs/>
                <w:color w:val="000000" w:themeColor="text1"/>
                <w:kern w:val="0"/>
                <w:sz w:val="24"/>
                <w:szCs w:val="24"/>
                <w:u w:val="single"/>
              </w:rPr>
              <w:t>on of</w:t>
            </w:r>
            <w:r>
              <w:rPr>
                <w:rFonts w:ascii="Times New Roman" w:hAnsi="Times New Roman" w:eastAsia="宋体" w:cs="Times New Roman"/>
                <w:b/>
                <w:bCs/>
                <w:color w:val="000000" w:themeColor="text1"/>
                <w:kern w:val="0"/>
                <w:sz w:val="24"/>
                <w:szCs w:val="24"/>
                <w:u w:val="single"/>
              </w:rPr>
              <w:t xml:space="preserve"> sampling and promptly</w:t>
            </w:r>
            <w:r>
              <w:rPr>
                <w:rFonts w:hint="eastAsia" w:ascii="Times New Roman" w:hAnsi="Times New Roman" w:eastAsia="宋体" w:cs="Times New Roman"/>
                <w:b/>
                <w:bCs/>
                <w:color w:val="000000" w:themeColor="text1"/>
                <w:kern w:val="0"/>
                <w:sz w:val="24"/>
                <w:szCs w:val="24"/>
                <w:u w:val="single"/>
              </w:rPr>
              <w:t xml:space="preserve"> </w:t>
            </w:r>
            <w:r>
              <w:rPr>
                <w:rFonts w:ascii="Times New Roman" w:hAnsi="Times New Roman" w:eastAsia="宋体" w:cs="Times New Roman"/>
                <w:b/>
                <w:bCs/>
                <w:color w:val="000000" w:themeColor="text1"/>
                <w:kern w:val="0"/>
                <w:sz w:val="24"/>
                <w:szCs w:val="24"/>
                <w:u w:val="single"/>
              </w:rPr>
              <w:t>notif</w:t>
            </w:r>
            <w:r>
              <w:rPr>
                <w:rFonts w:hint="eastAsia" w:ascii="Times New Roman" w:hAnsi="Times New Roman" w:eastAsia="宋体" w:cs="Times New Roman"/>
                <w:b/>
                <w:bCs/>
                <w:color w:val="000000" w:themeColor="text1"/>
                <w:kern w:val="0"/>
                <w:sz w:val="24"/>
                <w:szCs w:val="24"/>
                <w:u w:val="single"/>
              </w:rPr>
              <w:t>ied to</w:t>
            </w:r>
            <w:r>
              <w:rPr>
                <w:rFonts w:ascii="Times New Roman" w:hAnsi="Times New Roman" w:eastAsia="宋体" w:cs="Times New Roman"/>
                <w:b/>
                <w:bCs/>
                <w:color w:val="000000" w:themeColor="text1"/>
                <w:kern w:val="0"/>
                <w:sz w:val="24"/>
                <w:szCs w:val="24"/>
                <w:u w:val="single"/>
              </w:rPr>
              <w:t xml:space="preserve"> the</w:t>
            </w:r>
            <w:r>
              <w:rPr>
                <w:rFonts w:hint="eastAsia" w:ascii="Times New Roman" w:hAnsi="Times New Roman" w:eastAsia="宋体" w:cs="Times New Roman"/>
                <w:b/>
                <w:bCs/>
                <w:color w:val="000000" w:themeColor="text1"/>
                <w:kern w:val="0"/>
                <w:sz w:val="24"/>
                <w:szCs w:val="24"/>
                <w:u w:val="single"/>
              </w:rPr>
              <w:t xml:space="preserve"> registrant and the</w:t>
            </w:r>
            <w:r>
              <w:rPr>
                <w:rFonts w:ascii="Times New Roman" w:hAnsi="Times New Roman" w:eastAsia="宋体" w:cs="Times New Roman"/>
                <w:b/>
                <w:bCs/>
                <w:color w:val="000000" w:themeColor="text1"/>
                <w:kern w:val="0"/>
                <w:sz w:val="24"/>
                <w:szCs w:val="24"/>
                <w:u w:val="single"/>
              </w:rPr>
              <w:t xml:space="preserve"> delivery warehouse.</w:t>
            </w:r>
          </w:p>
          <w:p>
            <w:pPr>
              <w:widowControl/>
              <w:spacing w:after="312" w:line="239" w:lineRule="atLeast"/>
              <w:rPr>
                <w:rFonts w:ascii="Calibri" w:hAnsi="Calibri" w:eastAsia="宋体" w:cs="Calibri"/>
                <w:color w:val="000000" w:themeColor="text1"/>
                <w:kern w:val="0"/>
                <w:szCs w:val="21"/>
              </w:rPr>
            </w:pPr>
            <w:r>
              <w:rPr>
                <w:rFonts w:ascii="Times New Roman" w:hAnsi="Times New Roman" w:eastAsia="宋体" w:cs="Times New Roman"/>
                <w:color w:val="000000" w:themeColor="text1"/>
                <w:kern w:val="0"/>
                <w:sz w:val="24"/>
                <w:szCs w:val="24"/>
              </w:rPr>
              <w:t>Any registrant or delivery warehouse that objects to the results of load-in quality inspection may request the Exchange for a re-inspection. The specific procedures are governed by the “Load-in Re-inspection of Delivery Warehouse Commodities” section under the</w:t>
            </w:r>
            <w:r>
              <w:rPr>
                <w:rFonts w:hint="eastAsia" w:ascii="宋体" w:hAnsi="宋体" w:eastAsia="宋体" w:cs="Calibri"/>
                <w:color w:val="000000" w:themeColor="text1"/>
                <w:kern w:val="0"/>
                <w:sz w:val="24"/>
                <w:szCs w:val="24"/>
              </w:rPr>
              <w:t xml:space="preserve"> </w:t>
            </w:r>
            <w:r>
              <w:rPr>
                <w:rFonts w:ascii="Times New Roman" w:hAnsi="Times New Roman" w:eastAsia="宋体" w:cs="Times New Roman"/>
                <w:i/>
                <w:iCs/>
                <w:color w:val="000000" w:themeColor="text1"/>
                <w:kern w:val="0"/>
                <w:sz w:val="24"/>
                <w:szCs w:val="24"/>
              </w:rPr>
              <w:t>Rules of Zhengzhou Commodity Exchange on Standard Warehouse Receipts</w:t>
            </w:r>
            <w:r>
              <w:rPr>
                <w:rFonts w:ascii="Times New Roman" w:hAnsi="Times New Roman" w:eastAsia="宋体" w:cs="Times New Roman"/>
                <w:color w:val="000000" w:themeColor="text1"/>
                <w:kern w:val="0"/>
                <w:sz w:val="24"/>
                <w:szCs w:val="24"/>
              </w:rPr>
              <w:t>.</w:t>
            </w:r>
          </w:p>
          <w:p>
            <w:pPr>
              <w:ind w:firstLine="400" w:firstLineChars="200"/>
              <w:rPr>
                <w:rFonts w:hint="eastAsia" w:ascii="仿宋" w:hAnsi="仿宋" w:eastAsia="仿宋"/>
                <w:color w:val="000000" w:themeColor="text1"/>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188" w:type="dxa"/>
            <w:tcBorders>
              <w:top w:val="single" w:color="auto" w:sz="4" w:space="0"/>
              <w:left w:val="single" w:color="auto" w:sz="4" w:space="0"/>
              <w:bottom w:val="single" w:color="auto" w:sz="4" w:space="0"/>
              <w:right w:val="single" w:color="auto" w:sz="4" w:space="0"/>
            </w:tcBorders>
            <w:noWrap/>
            <w:vAlign w:val="top"/>
          </w:tcPr>
          <w:p>
            <w:pPr>
              <w:widowControl/>
              <w:spacing w:after="312" w:line="239" w:lineRule="atLeast"/>
              <w:jc w:val="both"/>
              <w:rPr>
                <w:rFonts w:hint="default" w:ascii="Times New Roman" w:hAnsi="Times New Roman" w:eastAsia="仿宋_GB2312" w:cs="Times New Roman"/>
                <w:b w:val="0"/>
                <w:bCs/>
                <w:color w:val="000000" w:themeColor="text1"/>
                <w:sz w:val="24"/>
                <w:szCs w:val="24"/>
                <w:lang w:bidi="ar"/>
              </w:rPr>
            </w:pPr>
            <w:r>
              <w:rPr>
                <w:rFonts w:hint="default" w:ascii="Times New Roman" w:hAnsi="Times New Roman" w:eastAsia="仿宋_GB2312" w:cs="Times New Roman"/>
                <w:b/>
                <w:color w:val="000000" w:themeColor="text1"/>
                <w:sz w:val="24"/>
                <w:szCs w:val="24"/>
                <w:lang w:bidi="ar"/>
              </w:rPr>
              <w:t xml:space="preserve">Article </w:t>
            </w:r>
            <w:r>
              <w:rPr>
                <w:rFonts w:hint="eastAsia" w:ascii="Times New Roman" w:hAnsi="Times New Roman" w:eastAsia="仿宋_GB2312" w:cs="Times New Roman"/>
                <w:b/>
                <w:color w:val="000000" w:themeColor="text1"/>
                <w:sz w:val="24"/>
                <w:szCs w:val="24"/>
                <w:lang w:val="en-US" w:eastAsia="zh-CN" w:bidi="ar"/>
              </w:rPr>
              <w:t xml:space="preserve">39 </w:t>
            </w:r>
            <w:r>
              <w:rPr>
                <w:rFonts w:hint="default" w:ascii="Times New Roman" w:hAnsi="Times New Roman" w:eastAsia="仿宋_GB2312" w:cs="Times New Roman"/>
                <w:b w:val="0"/>
                <w:bCs/>
                <w:color w:val="000000" w:themeColor="text1"/>
                <w:sz w:val="24"/>
                <w:szCs w:val="24"/>
                <w:lang w:bidi="ar"/>
              </w:rPr>
              <w:t>The delivery point for manganese silicon registered under a standard factory warehouse receipt is the delivery warehouse chosen by the pick-up person within the shipping radius of the relevant factory warehouse. The shipping radius of factory warehouses will be separately announced by the Exchange. The factory warehouse shall bear the relevant fees, including the transit fees charged by the delivery warehouse, before the commodity is transported to the buyer’s trucks. Any premiums or discounts associated with the delivery warehouse may be settled by the pick-up person and the factory warehouse by and among themselves in accordance with the premiums and discounts established by the Exchange.</w:t>
            </w:r>
          </w:p>
          <w:p>
            <w:pPr>
              <w:widowControl/>
              <w:spacing w:after="312" w:line="239" w:lineRule="atLeast"/>
              <w:jc w:val="both"/>
              <w:rPr>
                <w:rFonts w:hint="eastAsia" w:ascii="仿宋" w:hAnsi="仿宋" w:eastAsia="仿宋"/>
                <w:color w:val="000000" w:themeColor="text1"/>
                <w:kern w:val="0"/>
                <w:sz w:val="20"/>
                <w:szCs w:val="20"/>
              </w:rPr>
            </w:pPr>
            <w:r>
              <w:rPr>
                <w:rFonts w:hint="default" w:ascii="Times New Roman" w:hAnsi="Times New Roman" w:eastAsia="仿宋_GB2312" w:cs="Times New Roman"/>
                <w:b w:val="0"/>
                <w:bCs/>
                <w:color w:val="000000" w:themeColor="text1"/>
                <w:sz w:val="24"/>
                <w:szCs w:val="24"/>
                <w:lang w:bidi="ar"/>
              </w:rPr>
              <w:t>The pick-up person and the factory warehouse may agree on another pick-up location, in which case the particulars of delivery and the related fees shall be determined by the parties through negotiation.</w:t>
            </w:r>
          </w:p>
        </w:tc>
        <w:tc>
          <w:tcPr>
            <w:tcW w:w="4238" w:type="dxa"/>
            <w:tcBorders>
              <w:top w:val="single" w:color="auto" w:sz="4" w:space="0"/>
              <w:left w:val="single" w:color="auto" w:sz="4" w:space="0"/>
              <w:bottom w:val="single" w:color="auto" w:sz="4" w:space="0"/>
              <w:right w:val="single" w:color="auto" w:sz="4" w:space="0"/>
            </w:tcBorders>
            <w:noWrap/>
            <w:vAlign w:val="center"/>
          </w:tcPr>
          <w:p>
            <w:pPr>
              <w:widowControl/>
              <w:spacing w:after="312" w:line="239" w:lineRule="atLeast"/>
              <w:rPr>
                <w:rFonts w:hint="default" w:ascii="Times New Roman" w:hAnsi="Times New Roman" w:eastAsia="仿宋_GB2312" w:cs="Times New Roman"/>
                <w:b w:val="0"/>
                <w:bCs/>
                <w:color w:val="000000" w:themeColor="text1"/>
                <w:sz w:val="24"/>
                <w:szCs w:val="24"/>
                <w:lang w:bidi="ar"/>
              </w:rPr>
            </w:pPr>
            <w:r>
              <w:rPr>
                <w:rFonts w:hint="default" w:ascii="Times New Roman" w:hAnsi="Times New Roman" w:eastAsia="仿宋_GB2312" w:cs="Times New Roman"/>
                <w:b/>
                <w:color w:val="000000" w:themeColor="text1"/>
                <w:sz w:val="24"/>
                <w:szCs w:val="24"/>
                <w:lang w:bidi="ar"/>
              </w:rPr>
              <w:t xml:space="preserve">Article </w:t>
            </w:r>
            <w:r>
              <w:rPr>
                <w:rFonts w:hint="eastAsia" w:ascii="Times New Roman" w:hAnsi="Times New Roman" w:eastAsia="仿宋_GB2312" w:cs="Times New Roman"/>
                <w:b/>
                <w:color w:val="000000" w:themeColor="text1"/>
                <w:sz w:val="24"/>
                <w:szCs w:val="24"/>
                <w:lang w:val="en-US" w:eastAsia="zh-CN" w:bidi="ar"/>
              </w:rPr>
              <w:t xml:space="preserve">39 </w:t>
            </w:r>
            <w:r>
              <w:rPr>
                <w:rFonts w:hint="default" w:ascii="Times New Roman" w:hAnsi="Times New Roman" w:eastAsia="仿宋_GB2312" w:cs="Times New Roman"/>
                <w:b w:val="0"/>
                <w:bCs/>
                <w:color w:val="000000" w:themeColor="text1"/>
                <w:sz w:val="24"/>
                <w:szCs w:val="24"/>
                <w:lang w:bidi="ar"/>
              </w:rPr>
              <w:t xml:space="preserve">The delivery point for manganese silicon registered under a standard factory warehouse receipt </w:t>
            </w:r>
            <w:r>
              <w:rPr>
                <w:rFonts w:hint="default" w:ascii="Times New Roman" w:hAnsi="Times New Roman" w:eastAsia="仿宋_GB2312" w:cs="Times New Roman"/>
                <w:b w:val="0"/>
                <w:bCs/>
                <w:strike/>
                <w:dstrike w:val="0"/>
                <w:color w:val="000000" w:themeColor="text1"/>
                <w:sz w:val="24"/>
                <w:szCs w:val="24"/>
                <w:lang w:bidi="ar"/>
              </w:rPr>
              <w:t>is the delivery warehouse chosen by the pick-up person within the shipping radius of the relevant factory warehouse. The shipping radius of factory warehouses will be separately announced by the Exchange</w:t>
            </w:r>
            <w:r>
              <w:rPr>
                <w:rFonts w:ascii="Times New Roman" w:hAnsi="Times New Roman" w:eastAsia="宋体" w:cs="Times New Roman"/>
                <w:b/>
                <w:bCs/>
                <w:color w:val="000000" w:themeColor="text1"/>
                <w:kern w:val="0"/>
                <w:sz w:val="24"/>
                <w:szCs w:val="24"/>
                <w:u w:val="single"/>
              </w:rPr>
              <w:t>shall be determined as follows:</w:t>
            </w:r>
            <w:r>
              <w:rPr>
                <w:rFonts w:hint="eastAsia" w:ascii="Times New Roman" w:hAnsi="Times New Roman" w:eastAsia="宋体" w:cs="Times New Roman"/>
                <w:b/>
                <w:bCs/>
                <w:color w:val="000000" w:themeColor="text1"/>
                <w:kern w:val="0"/>
                <w:sz w:val="24"/>
                <w:szCs w:val="24"/>
                <w:u w:val="single"/>
              </w:rPr>
              <w:t xml:space="preserve"> </w:t>
            </w:r>
            <w:r>
              <w:rPr>
                <w:rFonts w:ascii="Times New Roman" w:hAnsi="Times New Roman" w:eastAsia="宋体" w:cs="Times New Roman"/>
                <w:b/>
                <w:bCs/>
                <w:color w:val="000000" w:themeColor="text1"/>
                <w:kern w:val="0"/>
                <w:sz w:val="24"/>
                <w:szCs w:val="24"/>
                <w:u w:val="single"/>
              </w:rPr>
              <w:t>the factory warehouse</w:t>
            </w:r>
            <w:r>
              <w:rPr>
                <w:rFonts w:hint="eastAsia" w:ascii="Times New Roman" w:hAnsi="Times New Roman" w:eastAsia="宋体" w:cs="Times New Roman"/>
                <w:b/>
                <w:bCs/>
                <w:color w:val="000000" w:themeColor="text1"/>
                <w:kern w:val="0"/>
                <w:sz w:val="24"/>
                <w:szCs w:val="24"/>
                <w:u w:val="single"/>
              </w:rPr>
              <w:t xml:space="preserve"> </w:t>
            </w:r>
            <w:r>
              <w:rPr>
                <w:rFonts w:ascii="Times New Roman" w:hAnsi="Times New Roman" w:eastAsia="宋体" w:cs="Times New Roman"/>
                <w:b/>
                <w:bCs/>
                <w:color w:val="000000" w:themeColor="text1"/>
                <w:kern w:val="0"/>
                <w:sz w:val="24"/>
                <w:szCs w:val="24"/>
                <w:u w:val="single"/>
              </w:rPr>
              <w:t>designate</w:t>
            </w:r>
            <w:r>
              <w:rPr>
                <w:rFonts w:hint="eastAsia" w:ascii="Times New Roman" w:hAnsi="Times New Roman" w:eastAsia="宋体" w:cs="Times New Roman"/>
                <w:b/>
                <w:bCs/>
                <w:color w:val="000000" w:themeColor="text1"/>
                <w:kern w:val="0"/>
                <w:sz w:val="24"/>
                <w:szCs w:val="24"/>
                <w:u w:val="single"/>
              </w:rPr>
              <w:t>s</w:t>
            </w:r>
            <w:r>
              <w:rPr>
                <w:rFonts w:ascii="Times New Roman" w:hAnsi="Times New Roman" w:eastAsia="宋体" w:cs="Times New Roman"/>
                <w:b/>
                <w:bCs/>
                <w:color w:val="000000" w:themeColor="text1"/>
                <w:kern w:val="0"/>
                <w:sz w:val="24"/>
                <w:szCs w:val="24"/>
                <w:u w:val="single"/>
              </w:rPr>
              <w:t xml:space="preserve"> a provincial region with </w:t>
            </w:r>
            <w:r>
              <w:rPr>
                <w:rFonts w:hint="eastAsia" w:ascii="Times New Roman" w:hAnsi="Times New Roman" w:eastAsia="宋体" w:cs="Times New Roman"/>
                <w:b/>
                <w:bCs/>
                <w:color w:val="000000" w:themeColor="text1"/>
                <w:kern w:val="0"/>
                <w:sz w:val="24"/>
                <w:szCs w:val="24"/>
                <w:u w:val="single"/>
              </w:rPr>
              <w:t>delivery</w:t>
            </w:r>
            <w:r>
              <w:rPr>
                <w:rFonts w:ascii="Times New Roman" w:hAnsi="Times New Roman" w:eastAsia="宋体" w:cs="Times New Roman"/>
                <w:b/>
                <w:bCs/>
                <w:color w:val="000000" w:themeColor="text1"/>
                <w:kern w:val="0"/>
                <w:sz w:val="24"/>
                <w:szCs w:val="24"/>
                <w:u w:val="single"/>
              </w:rPr>
              <w:t xml:space="preserve"> warehouse</w:t>
            </w:r>
            <w:r>
              <w:rPr>
                <w:rFonts w:hint="eastAsia" w:ascii="Times New Roman" w:hAnsi="Times New Roman" w:eastAsia="宋体" w:cs="Times New Roman"/>
                <w:b/>
                <w:bCs/>
                <w:color w:val="000000" w:themeColor="text1"/>
                <w:kern w:val="0"/>
                <w:sz w:val="24"/>
                <w:szCs w:val="24"/>
                <w:u w:val="single"/>
              </w:rPr>
              <w:t>s</w:t>
            </w:r>
            <w:r>
              <w:rPr>
                <w:rFonts w:ascii="Times New Roman" w:hAnsi="Times New Roman" w:eastAsia="宋体" w:cs="Times New Roman"/>
                <w:b/>
                <w:bCs/>
                <w:color w:val="000000" w:themeColor="text1"/>
                <w:kern w:val="0"/>
                <w:sz w:val="24"/>
                <w:szCs w:val="24"/>
                <w:u w:val="single"/>
              </w:rPr>
              <w:t xml:space="preserve">, and </w:t>
            </w:r>
            <w:r>
              <w:rPr>
                <w:rFonts w:hint="eastAsia" w:ascii="Times New Roman" w:hAnsi="Times New Roman" w:eastAsia="宋体" w:cs="Times New Roman"/>
                <w:b/>
                <w:bCs/>
                <w:color w:val="000000" w:themeColor="text1"/>
                <w:kern w:val="0"/>
                <w:sz w:val="24"/>
                <w:szCs w:val="24"/>
                <w:u w:val="single"/>
              </w:rPr>
              <w:t xml:space="preserve">then </w:t>
            </w:r>
            <w:r>
              <w:rPr>
                <w:rFonts w:ascii="Times New Roman" w:hAnsi="Times New Roman" w:eastAsia="宋体" w:cs="Times New Roman"/>
                <w:b/>
                <w:bCs/>
                <w:color w:val="000000" w:themeColor="text1"/>
                <w:kern w:val="0"/>
                <w:sz w:val="24"/>
                <w:szCs w:val="24"/>
                <w:u w:val="single"/>
              </w:rPr>
              <w:t xml:space="preserve">the </w:t>
            </w:r>
            <w:r>
              <w:rPr>
                <w:rFonts w:hint="eastAsia" w:ascii="Times New Roman" w:hAnsi="Times New Roman" w:eastAsia="宋体" w:cs="Times New Roman"/>
                <w:b/>
                <w:bCs/>
                <w:color w:val="000000" w:themeColor="text1"/>
                <w:kern w:val="0"/>
                <w:sz w:val="24"/>
                <w:szCs w:val="24"/>
                <w:u w:val="single"/>
              </w:rPr>
              <w:t xml:space="preserve">pick-up person </w:t>
            </w:r>
            <w:r>
              <w:rPr>
                <w:rFonts w:ascii="Times New Roman" w:hAnsi="Times New Roman" w:eastAsia="宋体" w:cs="Times New Roman"/>
                <w:b/>
                <w:bCs/>
                <w:color w:val="000000" w:themeColor="text1"/>
                <w:kern w:val="0"/>
                <w:sz w:val="24"/>
                <w:szCs w:val="24"/>
                <w:u w:val="single"/>
              </w:rPr>
              <w:t>select</w:t>
            </w:r>
            <w:r>
              <w:rPr>
                <w:rFonts w:hint="eastAsia" w:ascii="Times New Roman" w:hAnsi="Times New Roman" w:eastAsia="宋体" w:cs="Times New Roman"/>
                <w:b/>
                <w:bCs/>
                <w:color w:val="000000" w:themeColor="text1"/>
                <w:kern w:val="0"/>
                <w:sz w:val="24"/>
                <w:szCs w:val="24"/>
                <w:u w:val="single"/>
              </w:rPr>
              <w:t>s</w:t>
            </w:r>
            <w:r>
              <w:rPr>
                <w:rFonts w:ascii="Times New Roman" w:hAnsi="Times New Roman" w:eastAsia="宋体" w:cs="Times New Roman"/>
                <w:b/>
                <w:bCs/>
                <w:color w:val="000000" w:themeColor="text1"/>
                <w:kern w:val="0"/>
                <w:sz w:val="24"/>
                <w:szCs w:val="24"/>
                <w:u w:val="single"/>
              </w:rPr>
              <w:t xml:space="preserve"> the specific </w:t>
            </w:r>
            <w:r>
              <w:rPr>
                <w:rFonts w:hint="eastAsia" w:ascii="Times New Roman" w:hAnsi="Times New Roman" w:eastAsia="宋体" w:cs="Times New Roman"/>
                <w:b/>
                <w:bCs/>
                <w:color w:val="000000" w:themeColor="text1"/>
                <w:kern w:val="0"/>
                <w:sz w:val="24"/>
                <w:szCs w:val="24"/>
                <w:u w:val="single"/>
              </w:rPr>
              <w:t xml:space="preserve">delivery </w:t>
            </w:r>
            <w:r>
              <w:rPr>
                <w:rFonts w:ascii="Times New Roman" w:hAnsi="Times New Roman" w:eastAsia="宋体" w:cs="Times New Roman"/>
                <w:b/>
                <w:bCs/>
                <w:color w:val="000000" w:themeColor="text1"/>
                <w:kern w:val="0"/>
                <w:sz w:val="24"/>
                <w:szCs w:val="24"/>
                <w:u w:val="single"/>
              </w:rPr>
              <w:t>warehouse within that region</w:t>
            </w:r>
            <w:r>
              <w:rPr>
                <w:rFonts w:hint="default" w:ascii="Times New Roman" w:hAnsi="Times New Roman" w:eastAsia="仿宋_GB2312" w:cs="Times New Roman"/>
                <w:b w:val="0"/>
                <w:bCs/>
                <w:strike w:val="0"/>
                <w:dstrike w:val="0"/>
                <w:color w:val="000000" w:themeColor="text1"/>
                <w:sz w:val="24"/>
                <w:szCs w:val="24"/>
                <w:lang w:bidi="ar"/>
              </w:rPr>
              <w:t>.</w:t>
            </w:r>
            <w:r>
              <w:rPr>
                <w:rFonts w:hint="default" w:ascii="Times New Roman" w:hAnsi="Times New Roman" w:eastAsia="仿宋_GB2312" w:cs="Times New Roman"/>
                <w:b w:val="0"/>
                <w:bCs/>
                <w:color w:val="000000" w:themeColor="text1"/>
                <w:sz w:val="24"/>
                <w:szCs w:val="24"/>
                <w:lang w:bidi="ar"/>
              </w:rPr>
              <w:t xml:space="preserve"> The factory warehouse shall bear the relevant fees, including the transit fees charged by the delivery warehouse, before the commodity is transported to the buyer’s trucks. Any premiums or discounts associated with the delivery warehouse may be settled by the pick-up person and the factory warehouse by and among themselves in accordance with the premiums and discounts established by the Exchange.</w:t>
            </w:r>
          </w:p>
          <w:p>
            <w:pPr>
              <w:rPr>
                <w:rFonts w:hint="eastAsia" w:ascii="仿宋" w:hAnsi="仿宋" w:eastAsia="仿宋"/>
                <w:color w:val="000000" w:themeColor="text1"/>
                <w:kern w:val="0"/>
                <w:sz w:val="20"/>
                <w:szCs w:val="20"/>
              </w:rPr>
            </w:pPr>
            <w:r>
              <w:rPr>
                <w:rFonts w:hint="default" w:ascii="Times New Roman" w:hAnsi="Times New Roman" w:eastAsia="仿宋_GB2312" w:cs="Times New Roman"/>
                <w:b w:val="0"/>
                <w:bCs/>
                <w:color w:val="000000" w:themeColor="text1"/>
                <w:sz w:val="24"/>
                <w:szCs w:val="24"/>
                <w:lang w:bidi="ar"/>
              </w:rPr>
              <w:t>The pick-up person and the factory warehouse may agree on another pick-up location, in which case the particulars of delivery and the related fees shall be determined by the parties through negotiation.</w:t>
            </w:r>
          </w:p>
        </w:tc>
      </w:tr>
    </w:tbl>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10"/>
        <w:sz w:val="28"/>
      </w:rPr>
      <w:fldChar w:fldCharType="begin"/>
    </w:r>
    <w:r>
      <w:rPr>
        <w:rStyle w:val="10"/>
        <w:sz w:val="28"/>
      </w:rPr>
      <w:instrText xml:space="preserve"> PAGE </w:instrText>
    </w:r>
    <w:r>
      <w:rPr>
        <w:rStyle w:val="10"/>
        <w:sz w:val="28"/>
      </w:rPr>
      <w:fldChar w:fldCharType="separate"/>
    </w:r>
    <w:r>
      <w:rPr>
        <w:rStyle w:val="10"/>
        <w:sz w:val="28"/>
      </w:rPr>
      <w:t>1</w:t>
    </w:r>
    <w:r>
      <w:rPr>
        <w:rStyle w:val="10"/>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10"/>
        <w:sz w:val="28"/>
      </w:rPr>
      <w:fldChar w:fldCharType="begin"/>
    </w:r>
    <w:r>
      <w:rPr>
        <w:rStyle w:val="10"/>
        <w:sz w:val="28"/>
      </w:rPr>
      <w:instrText xml:space="preserve"> PAGE </w:instrText>
    </w:r>
    <w:r>
      <w:rPr>
        <w:rStyle w:val="10"/>
        <w:sz w:val="28"/>
      </w:rPr>
      <w:fldChar w:fldCharType="separate"/>
    </w:r>
    <w:r>
      <w:rPr>
        <w:rStyle w:val="10"/>
        <w:sz w:val="28"/>
      </w:rPr>
      <w:t>4</w:t>
    </w:r>
    <w:r>
      <w:rPr>
        <w:rStyle w:val="10"/>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2EFED73E"/>
    <w:rsid w:val="3DFAFFAB"/>
    <w:rsid w:val="4BFE3C48"/>
    <w:rsid w:val="4BFF3CA7"/>
    <w:rsid w:val="6CBB0788"/>
    <w:rsid w:val="76FEDC0E"/>
    <w:rsid w:val="77FB7D6F"/>
    <w:rsid w:val="78031D0F"/>
    <w:rsid w:val="7CB73F15"/>
    <w:rsid w:val="7D7618F9"/>
    <w:rsid w:val="7EFEC7FA"/>
    <w:rsid w:val="7F7DED88"/>
    <w:rsid w:val="7FD38902"/>
    <w:rsid w:val="7FEE0838"/>
    <w:rsid w:val="8ED7B373"/>
    <w:rsid w:val="9FEA7341"/>
    <w:rsid w:val="B7FA8BFB"/>
    <w:rsid w:val="E9F7377E"/>
    <w:rsid w:val="EFB59C5E"/>
    <w:rsid w:val="EFD942C2"/>
    <w:rsid w:val="F3FB2306"/>
    <w:rsid w:val="FBB1F033"/>
    <w:rsid w:val="FCE8743C"/>
    <w:rsid w:val="FEF9E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4">
    <w:name w:val="Date"/>
    <w:basedOn w:val="1"/>
    <w:next w:val="1"/>
    <w:link w:val="12"/>
    <w:qFormat/>
    <w:uiPriority w:val="0"/>
    <w:rPr>
      <w:rFonts w:ascii="仿宋_GB2312" w:eastAsia="仿宋_GB2312"/>
      <w:sz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脚 Char"/>
    <w:basedOn w:val="9"/>
    <w:link w:val="5"/>
    <w:qFormat/>
    <w:uiPriority w:val="0"/>
    <w:rPr>
      <w:rFonts w:ascii="Times New Roman" w:hAnsi="Times New Roman" w:eastAsia="宋体" w:cs="Times New Roman"/>
      <w:sz w:val="18"/>
      <w:szCs w:val="18"/>
    </w:rPr>
  </w:style>
  <w:style w:type="character" w:customStyle="1" w:styleId="12">
    <w:name w:val="日期 Char"/>
    <w:basedOn w:val="9"/>
    <w:link w:val="4"/>
    <w:qFormat/>
    <w:uiPriority w:val="0"/>
    <w:rPr>
      <w:rFonts w:ascii="仿宋_GB2312" w:hAnsi="Times New Roman" w:eastAsia="仿宋_GB2312" w:cs="Times New Roman"/>
      <w:sz w:val="32"/>
      <w:szCs w:val="24"/>
    </w:rPr>
  </w:style>
  <w:style w:type="character" w:customStyle="1" w:styleId="13">
    <w:name w:val="页眉 Char"/>
    <w:basedOn w:val="9"/>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3</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2019-09-17T06:10:00Z</dcterms:created>
  <dc:creator>CN=李小鹏/OU=办公室/O=CZCE</dc:creator>
  <cp:lastModifiedBy>王新宇</cp:lastModifiedBy>
  <dcterms:modified xsi:type="dcterms:W3CDTF">2025-10-24T16:52:21Z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603842D87D8A6D146EF2F16872848E63</vt:lpwstr>
  </property>
</Properties>
</file>