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Autospacing="0" w:afterAutospacing="0" w:line="21" w:lineRule="atLeast"/>
        <w:jc w:val="center"/>
        <w:rPr>
          <w:rFonts w:ascii="Times New Roman" w:hAnsi="Times New Roman"/>
          <w:b/>
          <w:sz w:val="28"/>
          <w:szCs w:val="28"/>
          <w:highlight w:val="none"/>
        </w:rPr>
      </w:pPr>
      <w:bookmarkStart w:id="0" w:name="OLE_LINK12"/>
      <w:bookmarkStart w:id="1" w:name="OLE_LINK11"/>
      <w:r>
        <w:rPr>
          <w:rFonts w:ascii="Times New Roman" w:hAnsi="Times New Roman"/>
          <w:b/>
          <w:sz w:val="28"/>
          <w:szCs w:val="28"/>
          <w:highlight w:val="none"/>
        </w:rPr>
        <w:t xml:space="preserve">Cotton Option </w:t>
      </w:r>
      <w:r>
        <w:rPr>
          <w:rFonts w:hint="eastAsia" w:ascii="Times New Roman" w:hAnsi="Times New Roman"/>
          <w:b/>
          <w:sz w:val="28"/>
          <w:szCs w:val="28"/>
          <w:highlight w:val="none"/>
        </w:rPr>
        <w:t xml:space="preserve">Contract </w:t>
      </w:r>
      <w:r>
        <w:rPr>
          <w:rFonts w:ascii="Times New Roman" w:hAnsi="Times New Roman"/>
          <w:b/>
          <w:sz w:val="28"/>
          <w:szCs w:val="28"/>
          <w:highlight w:val="none"/>
        </w:rPr>
        <w:t>Specs</w:t>
      </w:r>
    </w:p>
    <w:tbl>
      <w:tblPr>
        <w:tblStyle w:val="7"/>
        <w:tblW w:w="964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7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Underlying</w:t>
            </w:r>
          </w:p>
        </w:tc>
        <w:tc>
          <w:tcPr>
            <w:tcW w:w="7655" w:type="dxa"/>
            <w:vAlign w:val="center"/>
          </w:tcPr>
          <w:p>
            <w:pPr>
              <w:pStyle w:val="5"/>
              <w:widowControl/>
              <w:spacing w:beforeAutospacing="0" w:afterAutospacing="0" w:line="21" w:lineRule="atLeast"/>
              <w:jc w:val="both"/>
              <w:rPr>
                <w:rFonts w:ascii="Times New Roman" w:hAnsi="Times New Roman"/>
                <w:highlight w:val="none"/>
              </w:rPr>
            </w:pPr>
            <w:r>
              <w:rPr>
                <w:rFonts w:hint="eastAsia" w:ascii="Times New Roman" w:hAnsi="Times New Roman"/>
                <w:highlight w:val="none"/>
              </w:rPr>
              <w:t>Cotton</w:t>
            </w:r>
            <w:r>
              <w:rPr>
                <w:rFonts w:ascii="Times New Roman" w:hAnsi="Times New Roman"/>
                <w:highlight w:val="none"/>
              </w:rPr>
              <w:t xml:space="preserve"> Futures (</w:t>
            </w:r>
            <w:r>
              <w:rPr>
                <w:rFonts w:hint="eastAsia" w:ascii="Times New Roman" w:hAnsi="Times New Roman"/>
                <w:highlight w:val="none"/>
              </w:rPr>
              <w:t>CF</w:t>
            </w:r>
            <w:r>
              <w:rPr>
                <w:rFonts w:ascii="Times New Roman" w:hAnsi="Times New Roman"/>
                <w:highlight w:val="none"/>
              </w:rPr>
              <w:t>) Contract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Contract Type</w:t>
            </w:r>
          </w:p>
        </w:tc>
        <w:tc>
          <w:tcPr>
            <w:tcW w:w="765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Call options; put options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Trading Unit</w:t>
            </w:r>
          </w:p>
        </w:tc>
        <w:tc>
          <w:tcPr>
            <w:tcW w:w="765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 xml:space="preserve">1 </w:t>
            </w:r>
            <w:r>
              <w:rPr>
                <w:rFonts w:hint="eastAsia" w:ascii="Times New Roman" w:hAnsi="Times New Roman"/>
                <w:highlight w:val="none"/>
              </w:rPr>
              <w:t>CF</w:t>
            </w:r>
            <w:r>
              <w:rPr>
                <w:rFonts w:ascii="Times New Roman" w:hAnsi="Times New Roman"/>
                <w:highlight w:val="none"/>
              </w:rPr>
              <w:t xml:space="preserve"> contract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Price Quotation</w:t>
            </w:r>
          </w:p>
        </w:tc>
        <w:tc>
          <w:tcPr>
            <w:tcW w:w="765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Chinese yuan (RMB) per metric 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Minimum Price Fluctuation</w:t>
            </w:r>
          </w:p>
        </w:tc>
        <w:tc>
          <w:tcPr>
            <w:tcW w:w="765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 xml:space="preserve">RMB </w:t>
            </w:r>
            <w:r>
              <w:rPr>
                <w:rFonts w:hint="eastAsia" w:ascii="Times New Roman" w:hAnsi="Times New Roman"/>
                <w:highlight w:val="none"/>
              </w:rPr>
              <w:t>1</w:t>
            </w:r>
            <w:r>
              <w:rPr>
                <w:rFonts w:ascii="Times New Roman" w:hAnsi="Times New Roman"/>
                <w:highlight w:val="none"/>
              </w:rPr>
              <w:t xml:space="preserve"> yuan/metric 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Price Limit</w:t>
            </w:r>
          </w:p>
        </w:tc>
        <w:tc>
          <w:tcPr>
            <w:tcW w:w="7655" w:type="dxa"/>
            <w:vAlign w:val="center"/>
          </w:tcPr>
          <w:p>
            <w:pPr>
              <w:pStyle w:val="5"/>
              <w:widowControl/>
              <w:spacing w:beforeAutospacing="0" w:afterAutospacing="0" w:line="21" w:lineRule="atLeast"/>
              <w:jc w:val="both"/>
              <w:rPr>
                <w:rFonts w:ascii="Times New Roman" w:hAnsi="Times New Roman"/>
                <w:highlight w:val="none"/>
              </w:rPr>
            </w:pPr>
            <w:bookmarkStart w:id="2" w:name="OLE_LINK1"/>
            <w:bookmarkStart w:id="3" w:name="OLE_LINK2"/>
            <w:r>
              <w:rPr>
                <w:rFonts w:ascii="Times New Roman" w:hAnsi="Times New Roman"/>
                <w:highlight w:val="none"/>
              </w:rPr>
              <w:t xml:space="preserve">Same as the price limit for </w:t>
            </w:r>
            <w:r>
              <w:rPr>
                <w:rFonts w:hint="eastAsia" w:ascii="Times New Roman" w:hAnsi="Times New Roman"/>
                <w:highlight w:val="none"/>
              </w:rPr>
              <w:t>CF</w:t>
            </w:r>
            <w:r>
              <w:rPr>
                <w:rFonts w:ascii="Times New Roman" w:hAnsi="Times New Roman"/>
                <w:highlight w:val="none"/>
              </w:rPr>
              <w:t xml:space="preserve"> contracts</w:t>
            </w:r>
            <w:bookmarkEnd w:id="2"/>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Contract Months</w:t>
            </w:r>
          </w:p>
        </w:tc>
        <w:tc>
          <w:tcPr>
            <w:tcW w:w="7655" w:type="dxa"/>
            <w:vAlign w:val="center"/>
          </w:tcPr>
          <w:p>
            <w:pPr>
              <w:pStyle w:val="5"/>
              <w:widowControl/>
              <w:spacing w:beforeAutospacing="0" w:afterAutospacing="0"/>
              <w:jc w:val="both"/>
              <w:rPr>
                <w:rFonts w:ascii="Times New Roman" w:hAnsi="Times New Roman"/>
                <w:highlight w:val="none"/>
              </w:rPr>
            </w:pPr>
            <w:r>
              <w:rPr>
                <w:rFonts w:ascii="Times New Roman" w:hAnsi="Times New Roman"/>
                <w:highlight w:val="none"/>
              </w:rPr>
              <w:t>Regular Options:</w:t>
            </w:r>
            <w:r>
              <w:rPr>
                <w:rFonts w:ascii="Times New Roman" w:hAnsi="Times New Roman"/>
                <w:highlight w:val="none"/>
              </w:rPr>
              <w:t xml:space="preserve"> The two consecutive nearby months of the underlying futures contract; contracts of subsequent months are listed on the trading day following the day when (single-counted) post-clearing open interest of the relevant underlying futures contract exceeds 5,000 lots</w:t>
            </w:r>
          </w:p>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S</w:t>
            </w:r>
            <w:bookmarkStart w:id="4" w:name="OLE_LINK10"/>
            <w:r>
              <w:rPr>
                <w:rFonts w:ascii="Times New Roman" w:hAnsi="Times New Roman"/>
                <w:highlight w:val="none"/>
              </w:rPr>
              <w:t>erial Options: Listed for trading on th</w:t>
            </w:r>
            <w:bookmarkEnd w:id="4"/>
            <w:r>
              <w:rPr>
                <w:rFonts w:ascii="Times New Roman" w:hAnsi="Times New Roman"/>
                <w:highlight w:val="none"/>
              </w:rPr>
              <w:t>e first trading day of the 4th month prior to the delivery month of the underlying futures contract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Trading Hours</w:t>
            </w:r>
          </w:p>
        </w:tc>
        <w:tc>
          <w:tcPr>
            <w:tcW w:w="7655" w:type="dxa"/>
            <w:vAlign w:val="center"/>
          </w:tcPr>
          <w:p>
            <w:pPr>
              <w:pStyle w:val="5"/>
              <w:widowControl/>
              <w:spacing w:beforeAutospacing="0" w:afterAutospacing="0"/>
              <w:jc w:val="both"/>
              <w:rPr>
                <w:rFonts w:ascii="Times New Roman" w:hAnsi="Times New Roman"/>
                <w:highlight w:val="none"/>
              </w:rPr>
            </w:pPr>
            <w:r>
              <w:rPr>
                <w:rFonts w:ascii="Times New Roman" w:hAnsi="Times New Roman"/>
                <w:highlight w:val="none"/>
              </w:rPr>
              <w:t>9:00-11:30 and 13:30-15:00 (Beijing time) and other trading hours prescribed by Zhengzhou Commodity Exchange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Last Trading Day</w:t>
            </w:r>
          </w:p>
        </w:tc>
        <w:tc>
          <w:tcPr>
            <w:tcW w:w="7655" w:type="dxa"/>
            <w:vAlign w:val="center"/>
          </w:tcPr>
          <w:p>
            <w:pPr>
              <w:pStyle w:val="5"/>
              <w:widowControl/>
              <w:spacing w:beforeAutospacing="0" w:afterAutospacing="0"/>
              <w:jc w:val="both"/>
              <w:rPr>
                <w:rFonts w:ascii="Times New Roman" w:hAnsi="Times New Roman"/>
                <w:highlight w:val="none"/>
              </w:rPr>
            </w:pPr>
            <w:r>
              <w:rPr>
                <w:rFonts w:ascii="Times New Roman" w:hAnsi="Times New Roman"/>
                <w:highlight w:val="none"/>
              </w:rPr>
              <w:t>Regular Options:</w:t>
            </w:r>
            <w:r>
              <w:rPr>
                <w:rFonts w:ascii="Times New Roman" w:hAnsi="Times New Roman"/>
                <w:highlight w:val="none"/>
              </w:rPr>
              <w:t xml:space="preserve"> </w:t>
            </w:r>
            <w:bookmarkStart w:id="5" w:name="OLE_LINK3"/>
            <w:bookmarkStart w:id="6" w:name="OLE_LINK4"/>
            <w:r>
              <w:rPr>
                <w:rFonts w:ascii="Times New Roman" w:hAnsi="Times New Roman"/>
                <w:highlight w:val="none"/>
              </w:rPr>
              <w:t>Third-to-last trading day as counting backward from the 15th calendar day (inclusive) of the month prior to the delivery month of the underlying futures contract, or another date prescribed by Zhengzhou Commodity Exchange</w:t>
            </w:r>
          </w:p>
          <w:p>
            <w:pPr>
              <w:pStyle w:val="5"/>
              <w:widowControl/>
              <w:spacing w:beforeAutospacing="0" w:afterAutospacing="0"/>
              <w:jc w:val="both"/>
              <w:rPr>
                <w:rFonts w:ascii="Times New Roman" w:hAnsi="Times New Roman"/>
                <w:highlight w:val="none"/>
              </w:rPr>
            </w:pPr>
            <w:r>
              <w:rPr>
                <w:rFonts w:ascii="Times New Roman" w:hAnsi="Times New Roman"/>
                <w:highlight w:val="none"/>
              </w:rPr>
              <w:t>Serial Options: Third-to-last trading day as counting backward from the 15th calendar day (inclusive) of the 2nd month prior to the delivery month of the underlying futures months, or another date prescribed by Zhengzhou Commodity Exchange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bookmarkStart w:id="7" w:name="OLE_LINK5"/>
            <w:bookmarkStart w:id="8" w:name="OLE_LINK6"/>
            <w:r>
              <w:rPr>
                <w:rFonts w:ascii="Times New Roman" w:hAnsi="Times New Roman"/>
                <w:highlight w:val="none"/>
              </w:rPr>
              <w:t>Expiration Day</w:t>
            </w:r>
            <w:bookmarkEnd w:id="7"/>
            <w:bookmarkEnd w:id="8"/>
          </w:p>
        </w:tc>
        <w:tc>
          <w:tcPr>
            <w:tcW w:w="7655" w:type="dxa"/>
            <w:vAlign w:val="center"/>
          </w:tcPr>
          <w:p>
            <w:pPr>
              <w:pStyle w:val="5"/>
              <w:widowControl/>
              <w:spacing w:beforeAutospacing="0" w:afterAutospacing="0"/>
              <w:jc w:val="both"/>
              <w:rPr>
                <w:rFonts w:ascii="Times New Roman" w:hAnsi="Times New Roman"/>
                <w:highlight w:val="none"/>
              </w:rPr>
            </w:pPr>
            <w:r>
              <w:rPr>
                <w:rFonts w:ascii="Times New Roman" w:hAnsi="Times New Roman"/>
                <w:highlight w:val="none"/>
              </w:rPr>
              <w:t>Same as the Last Trading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Strike Price</w:t>
            </w:r>
          </w:p>
        </w:tc>
        <w:tc>
          <w:tcPr>
            <w:tcW w:w="7655" w:type="dxa"/>
            <w:vAlign w:val="center"/>
          </w:tcPr>
          <w:p>
            <w:pPr>
              <w:pStyle w:val="5"/>
              <w:widowControl/>
              <w:spacing w:beforeAutospacing="0" w:afterAutospacing="0"/>
              <w:jc w:val="both"/>
              <w:rPr>
                <w:rFonts w:ascii="Times New Roman" w:hAnsi="Times New Roman"/>
                <w:highlight w:val="none"/>
              </w:rPr>
            </w:pPr>
            <w:r>
              <w:rPr>
                <w:rFonts w:ascii="Times New Roman" w:hAnsi="Times New Roman"/>
                <w:highlight w:val="none"/>
              </w:rPr>
              <w:t>The range of strike price (SP) is the preceding trading day’s settlement price of the underlying futures contract plus or minus 1.5 times the current day’s price limit</w:t>
            </w:r>
          </w:p>
          <w:p>
            <w:pPr>
              <w:pStyle w:val="5"/>
              <w:widowControl/>
              <w:spacing w:beforeAutospacing="0" w:afterAutospacing="0"/>
              <w:jc w:val="both"/>
              <w:rPr>
                <w:rFonts w:ascii="Times New Roman" w:hAnsi="Times New Roman"/>
                <w:highlight w:val="none"/>
              </w:rPr>
            </w:pPr>
            <w:r>
              <w:rPr>
                <w:rFonts w:ascii="Times New Roman" w:hAnsi="Times New Roman"/>
                <w:highlight w:val="none"/>
              </w:rPr>
              <w:t>The strike price interval is:</w:t>
            </w:r>
          </w:p>
          <w:p>
            <w:pPr>
              <w:pStyle w:val="5"/>
              <w:widowControl/>
              <w:spacing w:beforeAutospacing="0" w:afterAutospacing="0"/>
              <w:jc w:val="both"/>
              <w:rPr>
                <w:rFonts w:ascii="Times New Roman" w:hAnsi="Times New Roman"/>
                <w:highlight w:val="none"/>
              </w:rPr>
            </w:pPr>
            <w:bookmarkStart w:id="9" w:name="OLE_LINK13"/>
            <w:bookmarkStart w:id="10" w:name="OLE_LINK14"/>
            <w:r>
              <w:rPr>
                <w:rFonts w:hint="eastAsia" w:ascii="Times New Roman" w:hAnsi="Times New Roman"/>
                <w:highlight w:val="none"/>
              </w:rPr>
              <w:t>100</w:t>
            </w:r>
            <w:r>
              <w:rPr>
                <w:rFonts w:ascii="Times New Roman" w:hAnsi="Times New Roman"/>
                <w:highlight w:val="none"/>
              </w:rPr>
              <w:t xml:space="preserve"> yuan/metric ton if SP ≤ </w:t>
            </w:r>
            <w:r>
              <w:rPr>
                <w:rFonts w:hint="eastAsia" w:ascii="Times New Roman" w:hAnsi="Times New Roman"/>
                <w:highlight w:val="none"/>
              </w:rPr>
              <w:t>10</w:t>
            </w:r>
            <w:r>
              <w:rPr>
                <w:rFonts w:ascii="Times New Roman" w:hAnsi="Times New Roman"/>
                <w:highlight w:val="none"/>
              </w:rPr>
              <w:t>,000 yuan/metric ton;</w:t>
            </w:r>
          </w:p>
          <w:p>
            <w:pPr>
              <w:pStyle w:val="5"/>
              <w:widowControl/>
              <w:spacing w:beforeAutospacing="0" w:afterAutospacing="0"/>
              <w:jc w:val="both"/>
              <w:rPr>
                <w:rFonts w:ascii="Times New Roman" w:hAnsi="Times New Roman"/>
                <w:highlight w:val="none"/>
              </w:rPr>
            </w:pPr>
            <w:r>
              <w:rPr>
                <w:rFonts w:hint="eastAsia" w:ascii="Times New Roman" w:hAnsi="Times New Roman"/>
                <w:highlight w:val="none"/>
              </w:rPr>
              <w:t>2</w:t>
            </w:r>
            <w:r>
              <w:rPr>
                <w:rFonts w:ascii="Times New Roman" w:hAnsi="Times New Roman"/>
                <w:highlight w:val="none"/>
              </w:rPr>
              <w:t xml:space="preserve">00 yuan/metric ton if </w:t>
            </w:r>
            <w:r>
              <w:rPr>
                <w:rFonts w:hint="eastAsia" w:ascii="Times New Roman" w:hAnsi="Times New Roman"/>
                <w:highlight w:val="none"/>
              </w:rPr>
              <w:t>10</w:t>
            </w:r>
            <w:r>
              <w:rPr>
                <w:rFonts w:ascii="Times New Roman" w:hAnsi="Times New Roman"/>
                <w:highlight w:val="none"/>
              </w:rPr>
              <w:t xml:space="preserve">,000 yuan/metric ton &lt; SP ≤ </w:t>
            </w:r>
            <w:r>
              <w:rPr>
                <w:rFonts w:hint="eastAsia" w:ascii="Times New Roman" w:hAnsi="Times New Roman"/>
                <w:highlight w:val="none"/>
              </w:rPr>
              <w:t>2</w:t>
            </w:r>
            <w:r>
              <w:rPr>
                <w:rFonts w:ascii="Times New Roman" w:hAnsi="Times New Roman"/>
                <w:highlight w:val="none"/>
              </w:rPr>
              <w:t>0,000 yuan/metric ton;</w:t>
            </w:r>
          </w:p>
          <w:p>
            <w:pPr>
              <w:pStyle w:val="5"/>
              <w:widowControl/>
              <w:spacing w:beforeAutospacing="0" w:afterAutospacing="0"/>
              <w:jc w:val="both"/>
              <w:rPr>
                <w:rFonts w:ascii="Times New Roman" w:hAnsi="Times New Roman"/>
                <w:highlight w:val="none"/>
              </w:rPr>
            </w:pPr>
            <w:r>
              <w:rPr>
                <w:rFonts w:hint="eastAsia" w:ascii="Times New Roman" w:hAnsi="Times New Roman"/>
                <w:highlight w:val="none"/>
              </w:rPr>
              <w:t>4</w:t>
            </w:r>
            <w:r>
              <w:rPr>
                <w:rFonts w:ascii="Times New Roman" w:hAnsi="Times New Roman"/>
                <w:highlight w:val="none"/>
              </w:rPr>
              <w:t xml:space="preserve">00 yuan/metric ton if SP &gt; </w:t>
            </w:r>
            <w:r>
              <w:rPr>
                <w:rFonts w:hint="eastAsia" w:ascii="Times New Roman" w:hAnsi="Times New Roman"/>
                <w:highlight w:val="none"/>
              </w:rPr>
              <w:t>2</w:t>
            </w:r>
            <w:r>
              <w:rPr>
                <w:rFonts w:ascii="Times New Roman" w:hAnsi="Times New Roman"/>
                <w:highlight w:val="none"/>
              </w:rPr>
              <w:t>0,000 yuan/metric ton</w:t>
            </w:r>
            <w:bookmarkEnd w:id="9"/>
            <w:bookmarkEnd w:id="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Exercise Style</w:t>
            </w:r>
          </w:p>
        </w:tc>
        <w:tc>
          <w:tcPr>
            <w:tcW w:w="7655" w:type="dxa"/>
            <w:vAlign w:val="center"/>
          </w:tcPr>
          <w:p>
            <w:pPr>
              <w:pStyle w:val="5"/>
              <w:widowControl/>
              <w:spacing w:beforeAutospacing="0" w:afterAutospacing="0"/>
              <w:jc w:val="both"/>
              <w:rPr>
                <w:rFonts w:ascii="Times New Roman" w:hAnsi="Times New Roman"/>
                <w:highlight w:val="none"/>
              </w:rPr>
            </w:pPr>
            <w:bookmarkStart w:id="11" w:name="OLE_LINK7"/>
            <w:r>
              <w:rPr>
                <w:rFonts w:ascii="Times New Roman" w:hAnsi="Times New Roman"/>
                <w:highlight w:val="none"/>
              </w:rPr>
              <w:t>American. The buyer can submit an exercise request during trading hours on any trading day before the expiration day, and an exercise or abandonment request before 3:30 p.m. on the expiration day</w:t>
            </w:r>
            <w:bookmarkEnd w:id="1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Product Cod</w:t>
            </w:r>
            <w:bookmarkStart w:id="12" w:name="OLE_LINK8"/>
            <w:bookmarkStart w:id="13" w:name="OLE_LINK9"/>
            <w:r>
              <w:rPr>
                <w:rFonts w:ascii="Times New Roman" w:hAnsi="Times New Roman"/>
                <w:highlight w:val="none"/>
              </w:rPr>
              <w:t>e</w:t>
            </w:r>
          </w:p>
        </w:tc>
        <w:tc>
          <w:tcPr>
            <w:tcW w:w="7655" w:type="dxa"/>
            <w:vAlign w:val="center"/>
          </w:tcPr>
          <w:p>
            <w:pPr>
              <w:pStyle w:val="5"/>
              <w:widowControl/>
              <w:spacing w:beforeAutospacing="0" w:afterAutospacing="0"/>
              <w:jc w:val="both"/>
              <w:rPr>
                <w:rFonts w:ascii="Times New Roman" w:hAnsi="Times New Roman"/>
                <w:highlight w:val="none"/>
              </w:rPr>
            </w:pPr>
            <w:r>
              <w:rPr>
                <w:rFonts w:ascii="Times New Roman" w:hAnsi="Times New Roman"/>
                <w:highlight w:val="none"/>
              </w:rPr>
              <w:t>Regular Options:</w:t>
            </w:r>
          </w:p>
          <w:p>
            <w:pPr>
              <w:pStyle w:val="5"/>
              <w:widowControl/>
              <w:spacing w:beforeAutospacing="0" w:afterAutospacing="0"/>
              <w:jc w:val="both"/>
              <w:rPr>
                <w:rFonts w:ascii="Times New Roman" w:hAnsi="Times New Roman"/>
                <w:highlight w:val="none"/>
              </w:rPr>
            </w:pPr>
            <w:r>
              <w:rPr>
                <w:rFonts w:ascii="Times New Roman" w:hAnsi="Times New Roman"/>
                <w:highlight w:val="none"/>
              </w:rPr>
              <w:t xml:space="preserve">Calls: </w:t>
            </w:r>
            <w:r>
              <w:rPr>
                <w:rFonts w:hint="eastAsia" w:ascii="Times New Roman" w:hAnsi="Times New Roman"/>
                <w:highlight w:val="none"/>
              </w:rPr>
              <w:t>CF</w:t>
            </w:r>
            <w:r>
              <w:rPr>
                <w:rFonts w:ascii="Times New Roman" w:hAnsi="Times New Roman"/>
                <w:highlight w:val="none"/>
              </w:rPr>
              <w:t>-contract month-C-strike price</w:t>
            </w:r>
          </w:p>
          <w:p>
            <w:pPr>
              <w:pStyle w:val="5"/>
              <w:widowControl/>
              <w:spacing w:beforeAutospacing="0" w:afterAutospacing="0"/>
              <w:jc w:val="both"/>
              <w:rPr>
                <w:rFonts w:ascii="Times New Roman" w:hAnsi="Times New Roman"/>
                <w:highlight w:val="none"/>
              </w:rPr>
            </w:pPr>
            <w:r>
              <w:rPr>
                <w:rFonts w:ascii="Times New Roman" w:hAnsi="Times New Roman"/>
                <w:highlight w:val="none"/>
              </w:rPr>
              <w:t xml:space="preserve">Puts: </w:t>
            </w:r>
            <w:r>
              <w:rPr>
                <w:rFonts w:hint="eastAsia" w:ascii="Times New Roman" w:hAnsi="Times New Roman"/>
                <w:highlight w:val="none"/>
              </w:rPr>
              <w:t>CF</w:t>
            </w:r>
            <w:r>
              <w:rPr>
                <w:rFonts w:ascii="Times New Roman" w:hAnsi="Times New Roman"/>
                <w:highlight w:val="none"/>
              </w:rPr>
              <w:t>-contract month-P-strike price</w:t>
            </w:r>
          </w:p>
          <w:p>
            <w:pPr>
              <w:pStyle w:val="5"/>
              <w:widowControl/>
              <w:spacing w:beforeAutospacing="0" w:afterAutospacing="0"/>
              <w:jc w:val="both"/>
              <w:rPr>
                <w:rFonts w:ascii="Times New Roman" w:hAnsi="Times New Roman"/>
                <w:highlight w:val="none"/>
              </w:rPr>
            </w:pPr>
            <w:r>
              <w:rPr>
                <w:rFonts w:ascii="Times New Roman" w:hAnsi="Times New Roman"/>
                <w:highlight w:val="none"/>
              </w:rPr>
              <w:t>Serial Options:</w:t>
            </w:r>
          </w:p>
          <w:p>
            <w:pPr>
              <w:pStyle w:val="5"/>
              <w:widowControl/>
              <w:spacing w:beforeAutospacing="0" w:afterAutospacing="0"/>
              <w:jc w:val="both"/>
              <w:rPr>
                <w:rFonts w:ascii="Times New Roman" w:hAnsi="Times New Roman"/>
                <w:highlight w:val="none"/>
              </w:rPr>
            </w:pPr>
            <w:r>
              <w:rPr>
                <w:rFonts w:ascii="Times New Roman" w:hAnsi="Times New Roman"/>
                <w:highlight w:val="none"/>
              </w:rPr>
              <w:t xml:space="preserve">Calls: </w:t>
            </w:r>
            <w:r>
              <w:rPr>
                <w:rFonts w:hint="eastAsia" w:ascii="Times New Roman" w:hAnsi="Times New Roman"/>
                <w:highlight w:val="none"/>
              </w:rPr>
              <w:t>CF</w:t>
            </w:r>
            <w:r>
              <w:rPr>
                <w:rFonts w:ascii="Times New Roman" w:hAnsi="Times New Roman"/>
                <w:highlight w:val="none"/>
              </w:rPr>
              <w:t>-contract month-MS-C-strike price</w:t>
            </w:r>
          </w:p>
          <w:p>
            <w:pPr>
              <w:pStyle w:val="5"/>
              <w:widowControl/>
              <w:spacing w:beforeAutospacing="0" w:afterAutospacing="0"/>
              <w:jc w:val="both"/>
              <w:rPr>
                <w:rFonts w:ascii="Times New Roman" w:hAnsi="Times New Roman"/>
                <w:highlight w:val="none"/>
              </w:rPr>
            </w:pPr>
            <w:r>
              <w:rPr>
                <w:rFonts w:ascii="Times New Roman" w:hAnsi="Times New Roman"/>
                <w:highlight w:val="none"/>
              </w:rPr>
              <w:t xml:space="preserve">Puts: </w:t>
            </w:r>
            <w:r>
              <w:rPr>
                <w:rFonts w:hint="eastAsia" w:ascii="Times New Roman" w:hAnsi="Times New Roman"/>
                <w:highlight w:val="none"/>
              </w:rPr>
              <w:t>CF</w:t>
            </w:r>
            <w:r>
              <w:rPr>
                <w:rFonts w:ascii="Times New Roman" w:hAnsi="Times New Roman"/>
                <w:highlight w:val="none"/>
              </w:rPr>
              <w:t>-contract month-MS-P-strike price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pPr>
              <w:pStyle w:val="5"/>
              <w:widowControl/>
              <w:spacing w:beforeAutospacing="0" w:afterAutospacing="0" w:line="21" w:lineRule="atLeast"/>
              <w:jc w:val="both"/>
              <w:rPr>
                <w:rFonts w:ascii="Times New Roman" w:hAnsi="Times New Roman"/>
                <w:highlight w:val="none"/>
              </w:rPr>
            </w:pPr>
            <w:r>
              <w:rPr>
                <w:rFonts w:ascii="Times New Roman" w:hAnsi="Times New Roman"/>
                <w:highlight w:val="none"/>
              </w:rPr>
              <w:t>Listing Exchange</w:t>
            </w:r>
          </w:p>
        </w:tc>
        <w:tc>
          <w:tcPr>
            <w:tcW w:w="7655" w:type="dxa"/>
            <w:vAlign w:val="center"/>
          </w:tcPr>
          <w:p>
            <w:pPr>
              <w:pStyle w:val="5"/>
              <w:widowControl/>
              <w:spacing w:beforeAutospacing="0" w:afterAutospacing="0"/>
              <w:jc w:val="both"/>
              <w:rPr>
                <w:rFonts w:ascii="Times New Roman" w:hAnsi="Times New Roman"/>
                <w:highlight w:val="none"/>
              </w:rPr>
            </w:pPr>
            <w:r>
              <w:rPr>
                <w:rFonts w:ascii="Times New Roman" w:hAnsi="Times New Roman"/>
                <w:highlight w:val="none"/>
              </w:rPr>
              <w:t>Zhengzhou Commodity Exchange</w:t>
            </w:r>
          </w:p>
        </w:tc>
      </w:tr>
      <w:bookmarkEnd w:id="0"/>
      <w:bookmarkEnd w:id="1"/>
    </w:tbl>
    <w:p>
      <w:pPr>
        <w:pStyle w:val="5"/>
        <w:widowControl/>
        <w:spacing w:beforeAutospacing="0" w:afterAutospacing="0" w:line="21" w:lineRule="atLeast"/>
        <w:jc w:val="center"/>
        <w:rPr>
          <w:rFonts w:hint="eastAsia" w:ascii="Times New Roman" w:hAnsi="Times New Roman"/>
          <w:b/>
          <w:sz w:val="28"/>
          <w:szCs w:val="28"/>
          <w:highlight w:val="none"/>
        </w:rPr>
      </w:pPr>
      <w:r>
        <w:rPr>
          <w:rFonts w:hint="eastAsia" w:ascii="Times New Roman" w:hAnsi="Times New Roman"/>
          <w:b/>
          <w:sz w:val="28"/>
          <w:szCs w:val="28"/>
          <w:highlight w:val="none"/>
        </w:rPr>
        <w:t>Rapeseed Oil</w:t>
      </w:r>
      <w:r>
        <w:rPr>
          <w:rFonts w:ascii="Times New Roman" w:hAnsi="Times New Roman"/>
          <w:b/>
          <w:sz w:val="28"/>
          <w:szCs w:val="28"/>
          <w:highlight w:val="none"/>
        </w:rPr>
        <w:t xml:space="preserve"> Option Contract Specs</w:t>
      </w:r>
    </w:p>
    <w:tbl>
      <w:tblPr>
        <w:tblStyle w:val="7"/>
        <w:tblW w:w="964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7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Underlying</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hint="eastAsia" w:ascii="Times New Roman" w:hAnsi="Times New Roman"/>
                <w:highlight w:val="none"/>
              </w:rPr>
              <w:t>Rapeseed Oil</w:t>
            </w:r>
            <w:r>
              <w:rPr>
                <w:rFonts w:ascii="Times New Roman" w:hAnsi="Times New Roman"/>
                <w:highlight w:val="none"/>
              </w:rPr>
              <w:t xml:space="preserve"> Futures (</w:t>
            </w:r>
            <w:r>
              <w:rPr>
                <w:rFonts w:hint="eastAsia" w:ascii="Times New Roman" w:hAnsi="Times New Roman"/>
                <w:highlight w:val="none"/>
              </w:rPr>
              <w:t>OI</w:t>
            </w:r>
            <w:r>
              <w:rPr>
                <w:rFonts w:ascii="Times New Roman" w:hAnsi="Times New Roman"/>
                <w:highlight w:val="none"/>
              </w:rPr>
              <w:t>) Contract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Contract Type</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Call options; put options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Trading Unit</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 xml:space="preserve">1 </w:t>
            </w:r>
            <w:r>
              <w:rPr>
                <w:rFonts w:hint="eastAsia" w:ascii="Times New Roman" w:hAnsi="Times New Roman"/>
                <w:highlight w:val="none"/>
              </w:rPr>
              <w:t>OI</w:t>
            </w:r>
            <w:r>
              <w:rPr>
                <w:rFonts w:ascii="Times New Roman" w:hAnsi="Times New Roman"/>
                <w:highlight w:val="none"/>
              </w:rPr>
              <w:t xml:space="preserve"> contract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Price Quotation</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Chinese yuan (RMB) per metric 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Minimum Price Fluctuation</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 xml:space="preserve">RMB </w:t>
            </w:r>
            <w:r>
              <w:rPr>
                <w:rFonts w:hint="eastAsia" w:ascii="Times New Roman" w:hAnsi="Times New Roman"/>
                <w:highlight w:val="none"/>
              </w:rPr>
              <w:t>0.5</w:t>
            </w:r>
            <w:r>
              <w:rPr>
                <w:rFonts w:ascii="Times New Roman" w:hAnsi="Times New Roman"/>
                <w:highlight w:val="none"/>
              </w:rPr>
              <w:t xml:space="preserve"> yuan/metric 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Price Limit</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 xml:space="preserve">Same as the price limit for </w:t>
            </w:r>
            <w:r>
              <w:rPr>
                <w:rFonts w:hint="eastAsia" w:ascii="Times New Roman" w:hAnsi="Times New Roman"/>
                <w:highlight w:val="none"/>
              </w:rPr>
              <w:t>OI</w:t>
            </w:r>
            <w:r>
              <w:rPr>
                <w:rFonts w:ascii="Times New Roman" w:hAnsi="Times New Roman"/>
                <w:highlight w:val="none"/>
              </w:rPr>
              <w:t xml:space="preserve"> contracts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Contract Months</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Regular Options:</w:t>
            </w:r>
            <w:r>
              <w:rPr>
                <w:rFonts w:ascii="Times New Roman" w:hAnsi="Times New Roman"/>
                <w:highlight w:val="none"/>
              </w:rPr>
              <w:t xml:space="preserve"> The two consecutive nearby months of the underlying futures contract; contracts of subsequent months are listed on the trading day following the day when (single-counted) post-clearing open interest of the relevant underlying futures contract exceeds 5,000 lots</w:t>
            </w:r>
          </w:p>
          <w:p>
            <w:pPr>
              <w:pStyle w:val="5"/>
              <w:spacing w:beforeAutospacing="0" w:afterAutospacing="0"/>
              <w:jc w:val="both"/>
              <w:rPr>
                <w:rFonts w:ascii="Times New Roman" w:hAnsi="Times New Roman"/>
                <w:highlight w:val="none"/>
              </w:rPr>
            </w:pPr>
            <w:r>
              <w:rPr>
                <w:rFonts w:ascii="Times New Roman" w:hAnsi="Times New Roman"/>
                <w:highlight w:val="none"/>
              </w:rPr>
              <w:t>Serial Options: Listed for trading on the first trading day of the 4th month prior to the delivery month of the underlying futures contract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Trading Hours</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9:00-11:30 and 13:30-15:00 (Beijing time) and other trading hours prescribed by Zhengzhou Commodity Exchange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Last Trading Day</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Regular Options:</w:t>
            </w:r>
            <w:r>
              <w:rPr>
                <w:rFonts w:ascii="Times New Roman" w:hAnsi="Times New Roman"/>
                <w:highlight w:val="none"/>
              </w:rPr>
              <w:t xml:space="preserve"> Third-to-last trading day as counting backward from the 15th calendar day (inclusive) of the month prior to the delivery month of the underlying futures contract, or another date prescribed by Zhengzhou Commodity Exchange</w:t>
            </w:r>
          </w:p>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Serial Options: Third-to-last trading day as counting backward from the 15th calendar day (inclusive) of the 2nd month prior to the delivery month of the underlying futures months, or another date prescribed by Zhengzhou Commodity Exchange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Expiration Day</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rPr>
                <w:rFonts w:ascii="Times New Roman" w:hAnsi="Times New Roman"/>
                <w:highlight w:val="none"/>
              </w:rPr>
            </w:pPr>
            <w:r>
              <w:rPr>
                <w:rFonts w:ascii="Times New Roman" w:hAnsi="Times New Roman"/>
                <w:highlight w:val="none"/>
              </w:rPr>
              <w:t>Same as the Last Trading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Strike Price</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The range of strike price (SP) is the preceding trading day’s settlement price of the underlying futures contract plus or minus 1.5 times the current day’s price limit</w:t>
            </w:r>
          </w:p>
          <w:p>
            <w:pPr>
              <w:pStyle w:val="5"/>
              <w:spacing w:beforeAutospacing="0" w:afterAutospacing="0" w:line="21" w:lineRule="atLeast"/>
              <w:rPr>
                <w:rFonts w:ascii="Times New Roman" w:hAnsi="Times New Roman"/>
                <w:highlight w:val="none"/>
              </w:rPr>
            </w:pPr>
            <w:r>
              <w:rPr>
                <w:rFonts w:ascii="Times New Roman" w:hAnsi="Times New Roman"/>
                <w:highlight w:val="none"/>
              </w:rPr>
              <w:t>The strike price interval is:</w:t>
            </w:r>
          </w:p>
          <w:p>
            <w:pPr>
              <w:pStyle w:val="5"/>
              <w:spacing w:beforeAutospacing="0" w:afterAutospacing="0" w:line="21" w:lineRule="atLeast"/>
              <w:jc w:val="both"/>
              <w:rPr>
                <w:rFonts w:ascii="Times New Roman" w:hAnsi="Times New Roman"/>
                <w:highlight w:val="none"/>
              </w:rPr>
            </w:pPr>
            <w:r>
              <w:rPr>
                <w:rFonts w:hint="eastAsia" w:ascii="Times New Roman" w:hAnsi="Times New Roman"/>
                <w:highlight w:val="none"/>
              </w:rPr>
              <w:t>50</w:t>
            </w:r>
            <w:r>
              <w:rPr>
                <w:rFonts w:ascii="Times New Roman" w:hAnsi="Times New Roman"/>
                <w:highlight w:val="none"/>
              </w:rPr>
              <w:t xml:space="preserve"> yuan/metric ton if SP ≤ </w:t>
            </w:r>
            <w:r>
              <w:rPr>
                <w:rFonts w:hint="eastAsia" w:ascii="Times New Roman" w:hAnsi="Times New Roman"/>
                <w:highlight w:val="none"/>
              </w:rPr>
              <w:t>5</w:t>
            </w:r>
            <w:r>
              <w:rPr>
                <w:rFonts w:ascii="Times New Roman" w:hAnsi="Times New Roman"/>
                <w:highlight w:val="none"/>
              </w:rPr>
              <w:t>,000 yuan/metric ton;</w:t>
            </w:r>
          </w:p>
          <w:p>
            <w:pPr>
              <w:pStyle w:val="5"/>
              <w:spacing w:beforeAutospacing="0" w:afterAutospacing="0" w:line="21" w:lineRule="atLeast"/>
              <w:jc w:val="both"/>
              <w:rPr>
                <w:rFonts w:ascii="Times New Roman" w:hAnsi="Times New Roman"/>
                <w:highlight w:val="none"/>
              </w:rPr>
            </w:pPr>
            <w:r>
              <w:rPr>
                <w:rFonts w:hint="eastAsia" w:ascii="Times New Roman" w:hAnsi="Times New Roman"/>
                <w:highlight w:val="none"/>
              </w:rPr>
              <w:t>1</w:t>
            </w:r>
            <w:r>
              <w:rPr>
                <w:rFonts w:ascii="Times New Roman" w:hAnsi="Times New Roman"/>
                <w:highlight w:val="none"/>
              </w:rPr>
              <w:t xml:space="preserve">00 yuan/metric ton if </w:t>
            </w:r>
            <w:r>
              <w:rPr>
                <w:rFonts w:hint="eastAsia" w:ascii="Times New Roman" w:hAnsi="Times New Roman"/>
                <w:highlight w:val="none"/>
              </w:rPr>
              <w:t>5</w:t>
            </w:r>
            <w:r>
              <w:rPr>
                <w:rFonts w:ascii="Times New Roman" w:hAnsi="Times New Roman"/>
                <w:highlight w:val="none"/>
              </w:rPr>
              <w:t xml:space="preserve">,000 yuan/metric ton &lt; SP ≤ </w:t>
            </w:r>
            <w:r>
              <w:rPr>
                <w:rFonts w:hint="eastAsia" w:ascii="Times New Roman" w:hAnsi="Times New Roman"/>
                <w:highlight w:val="none"/>
              </w:rPr>
              <w:t>1</w:t>
            </w:r>
            <w:r>
              <w:rPr>
                <w:rFonts w:ascii="Times New Roman" w:hAnsi="Times New Roman"/>
                <w:highlight w:val="none"/>
              </w:rPr>
              <w:t>0,000 yuan/metric ton;</w:t>
            </w:r>
          </w:p>
          <w:p>
            <w:pPr>
              <w:pStyle w:val="5"/>
              <w:spacing w:beforeAutospacing="0" w:afterAutospacing="0" w:line="21" w:lineRule="atLeast"/>
              <w:rPr>
                <w:rFonts w:ascii="Times New Roman" w:hAnsi="Times New Roman"/>
                <w:highlight w:val="none"/>
              </w:rPr>
            </w:pPr>
            <w:r>
              <w:rPr>
                <w:rFonts w:hint="eastAsia" w:ascii="Times New Roman" w:hAnsi="Times New Roman"/>
                <w:highlight w:val="none"/>
              </w:rPr>
              <w:t>2</w:t>
            </w:r>
            <w:r>
              <w:rPr>
                <w:rFonts w:ascii="Times New Roman" w:hAnsi="Times New Roman"/>
                <w:highlight w:val="none"/>
              </w:rPr>
              <w:t xml:space="preserve">00 yuan/metric ton if SP &gt; </w:t>
            </w:r>
            <w:r>
              <w:rPr>
                <w:rFonts w:hint="eastAsia" w:ascii="Times New Roman" w:hAnsi="Times New Roman"/>
                <w:highlight w:val="none"/>
              </w:rPr>
              <w:t>1</w:t>
            </w:r>
            <w:r>
              <w:rPr>
                <w:rFonts w:ascii="Times New Roman" w:hAnsi="Times New Roman"/>
                <w:highlight w:val="none"/>
              </w:rPr>
              <w:t>0,000 yuan/metric 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Exercise Style</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American. The buyer can submit an exercise request during trading hours on any trading day before the expiration day, and an exercise or abandonment request before 3:30 p.m. on the expiration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Product Code</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Regular Options:</w:t>
            </w:r>
          </w:p>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 xml:space="preserve">Calls: </w:t>
            </w:r>
            <w:r>
              <w:rPr>
                <w:rFonts w:hint="eastAsia" w:ascii="Times New Roman" w:hAnsi="Times New Roman"/>
                <w:highlight w:val="none"/>
              </w:rPr>
              <w:t>OI</w:t>
            </w:r>
            <w:r>
              <w:rPr>
                <w:rFonts w:ascii="Times New Roman" w:hAnsi="Times New Roman"/>
                <w:highlight w:val="none"/>
              </w:rPr>
              <w:t>-contract month-C-strike price</w:t>
            </w:r>
          </w:p>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 xml:space="preserve">Puts: </w:t>
            </w:r>
            <w:r>
              <w:rPr>
                <w:rFonts w:hint="eastAsia" w:ascii="Times New Roman" w:hAnsi="Times New Roman"/>
                <w:highlight w:val="none"/>
              </w:rPr>
              <w:t>OI</w:t>
            </w:r>
            <w:r>
              <w:rPr>
                <w:rFonts w:ascii="Times New Roman" w:hAnsi="Times New Roman"/>
                <w:highlight w:val="none"/>
              </w:rPr>
              <w:t>-contract month-P-strike price</w:t>
            </w:r>
          </w:p>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Serial Options:</w:t>
            </w:r>
          </w:p>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 xml:space="preserve">Calls: </w:t>
            </w:r>
            <w:r>
              <w:rPr>
                <w:rFonts w:hint="eastAsia" w:ascii="Times New Roman" w:hAnsi="Times New Roman"/>
                <w:highlight w:val="none"/>
              </w:rPr>
              <w:t>OI</w:t>
            </w:r>
            <w:r>
              <w:rPr>
                <w:rFonts w:ascii="Times New Roman" w:hAnsi="Times New Roman"/>
                <w:highlight w:val="none"/>
              </w:rPr>
              <w:t>-contract month-MS-C-strike price</w:t>
            </w:r>
          </w:p>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 xml:space="preserve">Puts: </w:t>
            </w:r>
            <w:r>
              <w:rPr>
                <w:rFonts w:hint="eastAsia" w:ascii="Times New Roman" w:hAnsi="Times New Roman"/>
                <w:highlight w:val="none"/>
              </w:rPr>
              <w:t>OI</w:t>
            </w:r>
            <w:r>
              <w:rPr>
                <w:rFonts w:ascii="Times New Roman" w:hAnsi="Times New Roman"/>
                <w:highlight w:val="none"/>
              </w:rPr>
              <w:t>-contract month-MS-P-strike price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Listing Exchange</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rPr>
                <w:rFonts w:ascii="Times New Roman" w:hAnsi="Times New Roman"/>
                <w:highlight w:val="none"/>
              </w:rPr>
            </w:pPr>
            <w:r>
              <w:rPr>
                <w:rFonts w:ascii="Times New Roman" w:hAnsi="Times New Roman"/>
                <w:highlight w:val="none"/>
              </w:rPr>
              <w:t>Zhengzhou Commodity Exchange</w:t>
            </w:r>
          </w:p>
        </w:tc>
      </w:tr>
    </w:tbl>
    <w:p>
      <w:pPr>
        <w:pStyle w:val="5"/>
        <w:widowControl/>
        <w:spacing w:beforeAutospacing="0" w:afterAutospacing="0" w:line="21" w:lineRule="atLeast"/>
        <w:rPr>
          <w:rFonts w:ascii="Times New Roman" w:hAnsi="Times New Roman"/>
          <w:highlight w:val="none"/>
        </w:rPr>
      </w:pPr>
    </w:p>
    <w:p>
      <w:pPr>
        <w:rPr>
          <w:rFonts w:hint="eastAsia" w:ascii="Times New Roman" w:hAnsi="Times New Roman"/>
          <w:b/>
          <w:sz w:val="28"/>
          <w:szCs w:val="28"/>
          <w:highlight w:val="none"/>
        </w:rPr>
      </w:pPr>
      <w:bookmarkStart w:id="14" w:name="OLE_LINK17"/>
      <w:bookmarkStart w:id="15" w:name="OLE_LINK16"/>
      <w:r>
        <w:rPr>
          <w:rFonts w:hint="eastAsia" w:ascii="Times New Roman" w:hAnsi="Times New Roman"/>
          <w:b/>
          <w:sz w:val="28"/>
          <w:szCs w:val="28"/>
          <w:highlight w:val="none"/>
        </w:rPr>
        <w:br w:type="page"/>
      </w:r>
    </w:p>
    <w:p>
      <w:pPr>
        <w:pStyle w:val="5"/>
        <w:widowControl/>
        <w:spacing w:beforeAutospacing="0" w:afterAutospacing="0" w:line="21" w:lineRule="atLeast"/>
        <w:jc w:val="center"/>
        <w:rPr>
          <w:rFonts w:hint="eastAsia" w:ascii="Times New Roman" w:hAnsi="Times New Roman"/>
          <w:b/>
          <w:sz w:val="28"/>
          <w:szCs w:val="28"/>
          <w:highlight w:val="none"/>
        </w:rPr>
      </w:pPr>
      <w:r>
        <w:rPr>
          <w:rFonts w:hint="eastAsia" w:ascii="Times New Roman" w:hAnsi="Times New Roman"/>
          <w:b/>
          <w:sz w:val="28"/>
          <w:szCs w:val="28"/>
          <w:highlight w:val="none"/>
        </w:rPr>
        <w:t>Rapeseed Meal</w:t>
      </w:r>
      <w:r>
        <w:rPr>
          <w:rFonts w:ascii="Times New Roman" w:hAnsi="Times New Roman"/>
          <w:b/>
          <w:sz w:val="28"/>
          <w:szCs w:val="28"/>
          <w:highlight w:val="none"/>
        </w:rPr>
        <w:t xml:space="preserve"> Option Contract Specs</w:t>
      </w:r>
    </w:p>
    <w:tbl>
      <w:tblPr>
        <w:tblStyle w:val="7"/>
        <w:tblW w:w="964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7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Underlying</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hint="eastAsia" w:ascii="Times New Roman" w:hAnsi="Times New Roman"/>
                <w:highlight w:val="none"/>
              </w:rPr>
              <w:t>Rapeseed Meal</w:t>
            </w:r>
            <w:r>
              <w:rPr>
                <w:rFonts w:ascii="Times New Roman" w:hAnsi="Times New Roman"/>
                <w:highlight w:val="none"/>
              </w:rPr>
              <w:t xml:space="preserve"> Futures (</w:t>
            </w:r>
            <w:r>
              <w:rPr>
                <w:rFonts w:hint="eastAsia" w:ascii="Times New Roman" w:hAnsi="Times New Roman"/>
                <w:highlight w:val="none"/>
              </w:rPr>
              <w:t>RM</w:t>
            </w:r>
            <w:r>
              <w:rPr>
                <w:rFonts w:ascii="Times New Roman" w:hAnsi="Times New Roman"/>
                <w:highlight w:val="none"/>
              </w:rPr>
              <w:t>) Contract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Contract Type</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Call options; put options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Trading Unit</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 xml:space="preserve">1 </w:t>
            </w:r>
            <w:r>
              <w:rPr>
                <w:rFonts w:hint="eastAsia" w:ascii="Times New Roman" w:hAnsi="Times New Roman"/>
                <w:highlight w:val="none"/>
              </w:rPr>
              <w:t>RM</w:t>
            </w:r>
            <w:r>
              <w:rPr>
                <w:rFonts w:ascii="Times New Roman" w:hAnsi="Times New Roman"/>
                <w:highlight w:val="none"/>
              </w:rPr>
              <w:t xml:space="preserve"> contract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Price Quotation</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Chinese yuan (RMB) per metric 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Minimum Price Fluctuation</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 xml:space="preserve">RMB </w:t>
            </w:r>
            <w:r>
              <w:rPr>
                <w:rFonts w:hint="eastAsia" w:ascii="Times New Roman" w:hAnsi="Times New Roman"/>
                <w:highlight w:val="none"/>
              </w:rPr>
              <w:t>0.5</w:t>
            </w:r>
            <w:r>
              <w:rPr>
                <w:rFonts w:ascii="Times New Roman" w:hAnsi="Times New Roman"/>
                <w:highlight w:val="none"/>
              </w:rPr>
              <w:t xml:space="preserve"> yuan/metric 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Price Limit</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 xml:space="preserve">Same as the price limit for </w:t>
            </w:r>
            <w:r>
              <w:rPr>
                <w:rFonts w:hint="eastAsia" w:ascii="Times New Roman" w:hAnsi="Times New Roman"/>
                <w:highlight w:val="none"/>
              </w:rPr>
              <w:t>RM</w:t>
            </w:r>
            <w:r>
              <w:rPr>
                <w:rFonts w:ascii="Times New Roman" w:hAnsi="Times New Roman"/>
                <w:highlight w:val="none"/>
              </w:rPr>
              <w:t xml:space="preserve"> contracts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Contract Months</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Regular Options: The two consecutive nearby months of the underlying futures contract; contracts of subsequent months are listed on the trading day following the day when (single-counted) post-clearing open interest of the relevant underlying futures contract exceeds 5,000 lots</w:t>
            </w:r>
          </w:p>
          <w:p>
            <w:pPr>
              <w:pStyle w:val="5"/>
              <w:spacing w:beforeAutospacing="0" w:afterAutospacing="0"/>
              <w:jc w:val="both"/>
              <w:rPr>
                <w:rFonts w:ascii="Times New Roman" w:hAnsi="Times New Roman"/>
                <w:highlight w:val="none"/>
              </w:rPr>
            </w:pPr>
            <w:r>
              <w:rPr>
                <w:rFonts w:ascii="Times New Roman" w:hAnsi="Times New Roman"/>
                <w:highlight w:val="none"/>
              </w:rPr>
              <w:t xml:space="preserve">Serial Options: Listed for trading on the first trading day of the 4th month prior to the delivery month </w:t>
            </w:r>
            <w:r>
              <w:rPr>
                <w:rFonts w:hint="eastAsia" w:ascii="Times New Roman" w:hAnsi="Times New Roman"/>
                <w:highlight w:val="none"/>
              </w:rPr>
              <w:t xml:space="preserve">(excluding August and September) </w:t>
            </w:r>
            <w:r>
              <w:rPr>
                <w:rFonts w:ascii="Times New Roman" w:hAnsi="Times New Roman"/>
                <w:highlight w:val="none"/>
              </w:rPr>
              <w:t>of the underlying futures contract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Trading Hours</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9:00-11:30 and 13:30-15:00 (Beijing time) and other trading hours prescribed by Zhengzhou Commodity Exchange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Last Trading Day</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Regular Options: Third-to-last trading day as counting backward from the 15th calendar day (inclusive) of the month prior to the delivery month of the underlying futures contract, or another date prescribed by Zhengzhou Commodity Exchange</w:t>
            </w:r>
          </w:p>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Serial Options: Third-to-last trading day as counting backward from the 15th calendar day (inclusive) of the 2nd month prior to the delivery month of the underlying futures months, or another date prescribed by Zhengzhou Commodity Exchange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Expiration Day</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rPr>
                <w:rFonts w:ascii="Times New Roman" w:hAnsi="Times New Roman"/>
                <w:highlight w:val="none"/>
              </w:rPr>
            </w:pPr>
            <w:r>
              <w:rPr>
                <w:rFonts w:ascii="Times New Roman" w:hAnsi="Times New Roman"/>
                <w:highlight w:val="none"/>
              </w:rPr>
              <w:t>Same as the Last Trading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Strike Price</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The range of strike price (SP) is the preceding trading day’s settlement price of the underlying futures contract plus or minus 1.5 times the current day’s price limit</w:t>
            </w:r>
          </w:p>
          <w:p>
            <w:pPr>
              <w:pStyle w:val="5"/>
              <w:spacing w:beforeAutospacing="0" w:afterAutospacing="0" w:line="21" w:lineRule="atLeast"/>
              <w:rPr>
                <w:rFonts w:ascii="Times New Roman" w:hAnsi="Times New Roman"/>
                <w:highlight w:val="none"/>
              </w:rPr>
            </w:pPr>
            <w:r>
              <w:rPr>
                <w:rFonts w:ascii="Times New Roman" w:hAnsi="Times New Roman"/>
                <w:highlight w:val="none"/>
              </w:rPr>
              <w:t>The strike price interval is:</w:t>
            </w:r>
          </w:p>
          <w:p>
            <w:pPr>
              <w:pStyle w:val="5"/>
              <w:spacing w:beforeAutospacing="0" w:afterAutospacing="0" w:line="21" w:lineRule="atLeast"/>
              <w:jc w:val="both"/>
              <w:rPr>
                <w:rFonts w:ascii="Times New Roman" w:hAnsi="Times New Roman"/>
                <w:highlight w:val="none"/>
              </w:rPr>
            </w:pPr>
            <w:r>
              <w:rPr>
                <w:rFonts w:hint="eastAsia" w:ascii="Times New Roman" w:hAnsi="Times New Roman"/>
                <w:highlight w:val="none"/>
              </w:rPr>
              <w:t>25</w:t>
            </w:r>
            <w:r>
              <w:rPr>
                <w:rFonts w:ascii="Times New Roman" w:hAnsi="Times New Roman"/>
                <w:highlight w:val="none"/>
              </w:rPr>
              <w:t xml:space="preserve"> yuan/metric ton if SP ≤ </w:t>
            </w:r>
            <w:r>
              <w:rPr>
                <w:rFonts w:hint="eastAsia" w:ascii="Times New Roman" w:hAnsi="Times New Roman"/>
                <w:highlight w:val="none"/>
              </w:rPr>
              <w:t>2</w:t>
            </w:r>
            <w:r>
              <w:rPr>
                <w:rFonts w:ascii="Times New Roman" w:hAnsi="Times New Roman"/>
                <w:highlight w:val="none"/>
              </w:rPr>
              <w:t>,</w:t>
            </w:r>
            <w:r>
              <w:rPr>
                <w:rFonts w:hint="eastAsia" w:ascii="Times New Roman" w:hAnsi="Times New Roman"/>
                <w:highlight w:val="none"/>
              </w:rPr>
              <w:t>5</w:t>
            </w:r>
            <w:r>
              <w:rPr>
                <w:rFonts w:ascii="Times New Roman" w:hAnsi="Times New Roman"/>
                <w:highlight w:val="none"/>
              </w:rPr>
              <w:t>00 yuan/metric ton;</w:t>
            </w:r>
          </w:p>
          <w:p>
            <w:pPr>
              <w:pStyle w:val="5"/>
              <w:spacing w:beforeAutospacing="0" w:afterAutospacing="0" w:line="21" w:lineRule="atLeast"/>
              <w:jc w:val="both"/>
              <w:rPr>
                <w:rFonts w:ascii="Times New Roman" w:hAnsi="Times New Roman"/>
                <w:highlight w:val="none"/>
              </w:rPr>
            </w:pPr>
            <w:r>
              <w:rPr>
                <w:rFonts w:hint="eastAsia" w:ascii="Times New Roman" w:hAnsi="Times New Roman"/>
                <w:highlight w:val="none"/>
              </w:rPr>
              <w:t>50</w:t>
            </w:r>
            <w:r>
              <w:rPr>
                <w:rFonts w:ascii="Times New Roman" w:hAnsi="Times New Roman"/>
                <w:highlight w:val="none"/>
              </w:rPr>
              <w:t xml:space="preserve"> yuan/metric ton if </w:t>
            </w:r>
            <w:r>
              <w:rPr>
                <w:rFonts w:hint="eastAsia" w:ascii="Times New Roman" w:hAnsi="Times New Roman"/>
                <w:highlight w:val="none"/>
              </w:rPr>
              <w:t>2</w:t>
            </w:r>
            <w:r>
              <w:rPr>
                <w:rFonts w:ascii="Times New Roman" w:hAnsi="Times New Roman"/>
                <w:highlight w:val="none"/>
              </w:rPr>
              <w:t>,</w:t>
            </w:r>
            <w:r>
              <w:rPr>
                <w:rFonts w:hint="eastAsia" w:ascii="Times New Roman" w:hAnsi="Times New Roman"/>
                <w:highlight w:val="none"/>
              </w:rPr>
              <w:t>5</w:t>
            </w:r>
            <w:r>
              <w:rPr>
                <w:rFonts w:ascii="Times New Roman" w:hAnsi="Times New Roman"/>
                <w:highlight w:val="none"/>
              </w:rPr>
              <w:t xml:space="preserve">00 yuan/metric ton &lt; SP ≤ </w:t>
            </w:r>
            <w:r>
              <w:rPr>
                <w:rFonts w:hint="eastAsia" w:ascii="Times New Roman" w:hAnsi="Times New Roman"/>
                <w:highlight w:val="none"/>
              </w:rPr>
              <w:t>5</w:t>
            </w:r>
            <w:r>
              <w:rPr>
                <w:rFonts w:ascii="Times New Roman" w:hAnsi="Times New Roman"/>
                <w:highlight w:val="none"/>
              </w:rPr>
              <w:t>,000 yuan/metric ton;</w:t>
            </w:r>
          </w:p>
          <w:p>
            <w:pPr>
              <w:pStyle w:val="5"/>
              <w:spacing w:beforeAutospacing="0" w:afterAutospacing="0" w:line="21" w:lineRule="atLeast"/>
              <w:rPr>
                <w:rFonts w:ascii="Times New Roman" w:hAnsi="Times New Roman"/>
                <w:highlight w:val="none"/>
              </w:rPr>
            </w:pPr>
            <w:r>
              <w:rPr>
                <w:rFonts w:hint="eastAsia" w:ascii="Times New Roman" w:hAnsi="Times New Roman"/>
                <w:highlight w:val="none"/>
              </w:rPr>
              <w:t>100</w:t>
            </w:r>
            <w:r>
              <w:rPr>
                <w:rFonts w:ascii="Times New Roman" w:hAnsi="Times New Roman"/>
                <w:highlight w:val="none"/>
              </w:rPr>
              <w:t xml:space="preserve"> yuan/metric ton if SP &gt; </w:t>
            </w:r>
            <w:r>
              <w:rPr>
                <w:rFonts w:hint="eastAsia" w:ascii="Times New Roman" w:hAnsi="Times New Roman"/>
                <w:highlight w:val="none"/>
              </w:rPr>
              <w:t>5</w:t>
            </w:r>
            <w:r>
              <w:rPr>
                <w:rFonts w:ascii="Times New Roman" w:hAnsi="Times New Roman"/>
                <w:highlight w:val="none"/>
              </w:rPr>
              <w:t>,000 yuan/metric 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Exercise Style</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American. The buyer can submit an exercise request during trading hours on any trading day before the expiration day, and an exercise or abandonment request before 3:30 p.m. on the expiration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Product Code</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Regular Options:</w:t>
            </w:r>
          </w:p>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 xml:space="preserve">Calls: </w:t>
            </w:r>
            <w:r>
              <w:rPr>
                <w:rFonts w:hint="eastAsia" w:ascii="Times New Roman" w:hAnsi="Times New Roman"/>
                <w:highlight w:val="none"/>
              </w:rPr>
              <w:t>RM</w:t>
            </w:r>
            <w:r>
              <w:rPr>
                <w:rFonts w:ascii="Times New Roman" w:hAnsi="Times New Roman"/>
                <w:highlight w:val="none"/>
              </w:rPr>
              <w:t>-contract month-C-strike price</w:t>
            </w:r>
          </w:p>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 xml:space="preserve">Puts: </w:t>
            </w:r>
            <w:r>
              <w:rPr>
                <w:rFonts w:hint="eastAsia" w:ascii="Times New Roman" w:hAnsi="Times New Roman"/>
                <w:highlight w:val="none"/>
              </w:rPr>
              <w:t>RM</w:t>
            </w:r>
            <w:r>
              <w:rPr>
                <w:rFonts w:ascii="Times New Roman" w:hAnsi="Times New Roman"/>
                <w:highlight w:val="none"/>
              </w:rPr>
              <w:t>-contract month-P-strike price</w:t>
            </w:r>
          </w:p>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Serial Options:</w:t>
            </w:r>
          </w:p>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 xml:space="preserve">Calls: </w:t>
            </w:r>
            <w:r>
              <w:rPr>
                <w:rFonts w:hint="eastAsia" w:ascii="Times New Roman" w:hAnsi="Times New Roman"/>
                <w:highlight w:val="none"/>
              </w:rPr>
              <w:t>RM</w:t>
            </w:r>
            <w:r>
              <w:rPr>
                <w:rFonts w:ascii="Times New Roman" w:hAnsi="Times New Roman"/>
                <w:highlight w:val="none"/>
              </w:rPr>
              <w:t>-contract month-MS-C-strike price</w:t>
            </w:r>
          </w:p>
          <w:p>
            <w:pPr>
              <w:pStyle w:val="5"/>
              <w:spacing w:beforeAutospacing="0" w:afterAutospacing="0" w:line="21" w:lineRule="atLeast"/>
              <w:jc w:val="both"/>
              <w:rPr>
                <w:rFonts w:ascii="Times New Roman" w:hAnsi="Times New Roman"/>
                <w:highlight w:val="none"/>
              </w:rPr>
            </w:pPr>
            <w:r>
              <w:rPr>
                <w:rFonts w:ascii="Times New Roman" w:hAnsi="Times New Roman"/>
                <w:highlight w:val="none"/>
              </w:rPr>
              <w:t xml:space="preserve">Puts: </w:t>
            </w:r>
            <w:r>
              <w:rPr>
                <w:rFonts w:hint="eastAsia" w:ascii="Times New Roman" w:hAnsi="Times New Roman"/>
                <w:highlight w:val="none"/>
              </w:rPr>
              <w:t>RM</w:t>
            </w:r>
            <w:r>
              <w:rPr>
                <w:rFonts w:ascii="Times New Roman" w:hAnsi="Times New Roman"/>
                <w:highlight w:val="none"/>
              </w:rPr>
              <w:t>-contract month-MS-P-strike price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rPr>
                <w:rFonts w:ascii="Times New Roman" w:hAnsi="Times New Roman"/>
                <w:highlight w:val="none"/>
              </w:rPr>
            </w:pPr>
            <w:r>
              <w:rPr>
                <w:rFonts w:ascii="Times New Roman" w:hAnsi="Times New Roman"/>
                <w:highlight w:val="none"/>
              </w:rPr>
              <w:t>Listing Exchange</w:t>
            </w:r>
          </w:p>
        </w:tc>
        <w:tc>
          <w:tcPr>
            <w:tcW w:w="7655" w:type="dxa"/>
            <w:tcBorders>
              <w:top w:val="single" w:color="auto" w:sz="4" w:space="0"/>
              <w:left w:val="single" w:color="auto" w:sz="4" w:space="0"/>
              <w:bottom w:val="single" w:color="auto" w:sz="4" w:space="0"/>
              <w:right w:val="single" w:color="auto" w:sz="4" w:space="0"/>
            </w:tcBorders>
            <w:vAlign w:val="center"/>
          </w:tcPr>
          <w:p>
            <w:pPr>
              <w:pStyle w:val="5"/>
              <w:spacing w:beforeAutospacing="0" w:afterAutospacing="0" w:line="21" w:lineRule="atLeast"/>
              <w:rPr>
                <w:rFonts w:ascii="Times New Roman" w:hAnsi="Times New Roman"/>
                <w:highlight w:val="none"/>
              </w:rPr>
            </w:pPr>
            <w:r>
              <w:rPr>
                <w:rFonts w:ascii="Times New Roman" w:hAnsi="Times New Roman"/>
                <w:highlight w:val="none"/>
              </w:rPr>
              <w:t>Zhengzhou Commodity Exchange</w:t>
            </w:r>
          </w:p>
        </w:tc>
      </w:tr>
      <w:bookmarkEnd w:id="5"/>
      <w:bookmarkEnd w:id="6"/>
      <w:bookmarkEnd w:id="12"/>
      <w:bookmarkEnd w:id="13"/>
      <w:bookmarkEnd w:id="14"/>
      <w:bookmarkEnd w:id="15"/>
    </w:tbl>
    <w:p>
      <w:pPr>
        <w:pStyle w:val="5"/>
        <w:spacing w:beforeAutospacing="0" w:afterAutospacing="0" w:line="21" w:lineRule="atLeast"/>
        <w:rPr>
          <w:rFonts w:ascii="Times New Roman" w:hAnsi="Times New Roman"/>
          <w:highlight w:val="none"/>
        </w:rPr>
      </w:pPr>
      <w:bookmarkStart w:id="16" w:name="_GoBack"/>
      <w:bookmarkEnd w:id="1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13D"/>
    <w:rsid w:val="00044AF6"/>
    <w:rsid w:val="0010409C"/>
    <w:rsid w:val="00160FEA"/>
    <w:rsid w:val="00201A21"/>
    <w:rsid w:val="004B2EE1"/>
    <w:rsid w:val="006C434C"/>
    <w:rsid w:val="00723F4B"/>
    <w:rsid w:val="007536CA"/>
    <w:rsid w:val="0082413E"/>
    <w:rsid w:val="00882E1F"/>
    <w:rsid w:val="00925274"/>
    <w:rsid w:val="00A57178"/>
    <w:rsid w:val="00BC213D"/>
    <w:rsid w:val="00CF15D5"/>
    <w:rsid w:val="00D85A20"/>
    <w:rsid w:val="00EC08DF"/>
    <w:rsid w:val="01594632"/>
    <w:rsid w:val="0AAD6C9B"/>
    <w:rsid w:val="2EFF1C88"/>
    <w:rsid w:val="3D864DFE"/>
    <w:rsid w:val="53925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character" w:customStyle="1" w:styleId="10">
    <w:name w:val="页眉 Char"/>
    <w:basedOn w:val="8"/>
    <w:link w:val="4"/>
    <w:qFormat/>
    <w:uiPriority w:val="0"/>
    <w:rPr>
      <w:rFonts w:asciiTheme="minorHAnsi" w:hAnsiTheme="minorHAnsi" w:eastAsiaTheme="minorEastAsia" w:cstheme="minorBidi"/>
      <w:kern w:val="2"/>
      <w:sz w:val="18"/>
      <w:szCs w:val="18"/>
    </w:rPr>
  </w:style>
  <w:style w:type="character" w:customStyle="1" w:styleId="11">
    <w:name w:val="页脚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4</Pages>
  <Words>1094</Words>
  <Characters>6242</Characters>
  <Lines>52</Lines>
  <Paragraphs>14</Paragraphs>
  <TotalTime>68</TotalTime>
  <ScaleCrop>false</ScaleCrop>
  <LinksUpToDate>false</LinksUpToDate>
  <CharactersWithSpaces>7322</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2026-08-27T14:20:00Z</dcterms:created>
  <dc:creator>Administrator</dc:creator>
  <cp:lastModifiedBy>管玉箫</cp:lastModifiedBy>
  <dcterms:modified xsi:type="dcterms:W3CDTF">2026-08-28T10:07:06Z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B1612FA8FB14D3604AED906A7B76F3B6</vt:lpwstr>
  </property>
</Properties>
</file>