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napToGrid w:val="0"/>
        <w:spacing w:before="0" w:beforeAutospacing="0" w:after="312" w:afterLines="100" w:afterAutospacing="0" w:line="276" w:lineRule="auto"/>
        <w:jc w:val="center"/>
        <w:outlineLvl w:val="0"/>
        <w:rPr>
          <w:rFonts w:ascii="Times New Roman" w:hAnsi="Times New Roman" w:cs="Times New Roman"/>
          <w:color w:val="333333"/>
          <w:kern w:val="0"/>
          <w:sz w:val="28"/>
          <w:szCs w:val="28"/>
          <w:lang w:bidi="ar"/>
        </w:rPr>
      </w:pPr>
      <w:r>
        <w:rPr>
          <w:rFonts w:hint="eastAsia" w:ascii="Times New Roman" w:hAnsi="Times New Roman" w:cs="Times New Roman"/>
          <w:color w:val="333333"/>
          <w:kern w:val="0"/>
          <w:sz w:val="28"/>
          <w:szCs w:val="28"/>
          <w:lang w:val="en-US" w:eastAsia="zh-CN" w:bidi="ar"/>
        </w:rPr>
        <w:t>Futures Trading Rules of Zhengzhou Commodity Exchange</w:t>
      </w:r>
    </w:p>
    <w:p>
      <w:pPr>
        <w:widowControl/>
        <w:snapToGrid w:val="0"/>
        <w:spacing w:after="312" w:afterLines="100" w:line="276" w:lineRule="auto"/>
        <w:rPr>
          <w:rFonts w:hint="default" w:ascii="Times New Roman" w:hAnsi="Times New Roman" w:cs="Times New Roman"/>
          <w:kern w:val="0"/>
          <w:sz w:val="24"/>
          <w:highlight w:val="none"/>
        </w:rPr>
      </w:pPr>
      <w:r>
        <w:rPr>
          <w:rFonts w:hint="default" w:ascii="Times New Roman" w:hAnsi="Times New Roman" w:cs="Times New Roman"/>
          <w:kern w:val="0"/>
          <w:sz w:val="24"/>
          <w:highlight w:val="none"/>
        </w:rPr>
        <w:t>(Adopted at the</w:t>
      </w:r>
      <w:r>
        <w:rPr>
          <w:rFonts w:hint="eastAsia" w:ascii="Times New Roman" w:hAnsi="Times New Roman" w:cs="Times New Roman"/>
          <w:kern w:val="0"/>
          <w:sz w:val="24"/>
          <w:highlight w:val="none"/>
          <w:lang w:eastAsia="zh-CN"/>
        </w:rPr>
        <w:t xml:space="preserve"> </w:t>
      </w:r>
      <w:r>
        <w:rPr>
          <w:rFonts w:hint="default" w:ascii="Times New Roman" w:hAnsi="Times New Roman" w:cs="Times New Roman"/>
          <w:kern w:val="0"/>
          <w:sz w:val="24"/>
          <w:highlight w:val="none"/>
        </w:rPr>
        <w:t>4th meeting of the</w:t>
      </w:r>
      <w:r>
        <w:rPr>
          <w:rFonts w:hint="eastAsia" w:ascii="Times New Roman" w:hAnsi="Times New Roman" w:cs="Times New Roman"/>
          <w:kern w:val="0"/>
          <w:sz w:val="24"/>
          <w:highlight w:val="none"/>
          <w:lang w:eastAsia="zh-CN"/>
        </w:rPr>
        <w:t xml:space="preserve"> </w:t>
      </w:r>
      <w:r>
        <w:rPr>
          <w:rFonts w:hint="eastAsia" w:ascii="Times New Roman" w:hAnsi="Times New Roman" w:cs="Times New Roman"/>
          <w:kern w:val="0"/>
          <w:sz w:val="24"/>
          <w:highlight w:val="none"/>
          <w:lang w:val="en-US" w:eastAsia="zh-CN"/>
        </w:rPr>
        <w:t>9</w:t>
      </w:r>
      <w:r>
        <w:rPr>
          <w:rFonts w:hint="default" w:ascii="Times New Roman" w:hAnsi="Times New Roman" w:cs="Times New Roman"/>
          <w:kern w:val="0"/>
          <w:sz w:val="24"/>
          <w:highlight w:val="none"/>
        </w:rPr>
        <w:t>th Board of Governors on</w:t>
      </w:r>
      <w:r>
        <w:rPr>
          <w:rFonts w:hint="eastAsia" w:ascii="Times New Roman" w:hAnsi="Times New Roman" w:cs="Times New Roman"/>
          <w:kern w:val="0"/>
          <w:sz w:val="24"/>
          <w:highlight w:val="none"/>
          <w:lang w:eastAsia="zh-CN"/>
        </w:rPr>
        <w:t xml:space="preserve"> </w:t>
      </w:r>
      <w:r>
        <w:rPr>
          <w:rFonts w:hint="eastAsia" w:ascii="Times New Roman" w:hAnsi="Times New Roman" w:cs="Times New Roman"/>
          <w:kern w:val="0"/>
          <w:sz w:val="24"/>
          <w:highlight w:val="none"/>
          <w:lang w:val="en-US" w:eastAsia="zh-CN"/>
        </w:rPr>
        <w:t>August</w:t>
      </w:r>
      <w:r>
        <w:rPr>
          <w:rFonts w:hint="eastAsia" w:ascii="Times New Roman" w:hAnsi="Times New Roman" w:cs="Times New Roman"/>
          <w:kern w:val="0"/>
          <w:sz w:val="24"/>
          <w:highlight w:val="none"/>
          <w:lang w:eastAsia="zh-CN"/>
        </w:rPr>
        <w:t xml:space="preserve"> </w:t>
      </w:r>
      <w:r>
        <w:rPr>
          <w:rFonts w:hint="eastAsia" w:ascii="Times New Roman" w:hAnsi="Times New Roman" w:cs="Times New Roman"/>
          <w:kern w:val="0"/>
          <w:sz w:val="24"/>
          <w:highlight w:val="none"/>
          <w:lang w:val="en-US" w:eastAsia="zh-CN"/>
        </w:rPr>
        <w:t>6</w:t>
      </w:r>
      <w:r>
        <w:rPr>
          <w:rFonts w:hint="default" w:ascii="Times New Roman" w:hAnsi="Times New Roman" w:cs="Times New Roman"/>
          <w:kern w:val="0"/>
          <w:sz w:val="24"/>
          <w:highlight w:val="none"/>
        </w:rPr>
        <w:t>, 2026; issued by Announcement [2026]</w:t>
      </w:r>
      <w:r>
        <w:rPr>
          <w:rFonts w:hint="eastAsia" w:ascii="Times New Roman" w:hAnsi="Times New Roman" w:cs="Times New Roman"/>
          <w:kern w:val="0"/>
          <w:sz w:val="24"/>
          <w:highlight w:val="none"/>
          <w:lang w:eastAsia="zh-CN"/>
        </w:rPr>
        <w:t xml:space="preserve"> </w:t>
      </w:r>
      <w:r>
        <w:rPr>
          <w:rFonts w:hint="default" w:ascii="Times New Roman" w:hAnsi="Times New Roman" w:cs="Times New Roman"/>
          <w:kern w:val="0"/>
          <w:sz w:val="24"/>
          <w:highlight w:val="none"/>
        </w:rPr>
        <w:t>No.</w:t>
      </w:r>
      <w:r>
        <w:rPr>
          <w:rFonts w:hint="eastAsia" w:ascii="Times New Roman" w:hAnsi="Times New Roman" w:cs="Times New Roman"/>
          <w:kern w:val="0"/>
          <w:sz w:val="24"/>
          <w:highlight w:val="none"/>
          <w:lang w:eastAsia="zh-CN"/>
        </w:rPr>
        <w:t xml:space="preserve"> </w:t>
      </w:r>
      <w:r>
        <w:rPr>
          <w:rFonts w:hint="eastAsia" w:ascii="Times New Roman" w:hAnsi="Times New Roman" w:cs="Times New Roman"/>
          <w:kern w:val="0"/>
          <w:sz w:val="24"/>
          <w:highlight w:val="none"/>
          <w:lang w:val="en-US" w:eastAsia="zh-CN"/>
        </w:rPr>
        <w:t>137</w:t>
      </w:r>
      <w:r>
        <w:rPr>
          <w:rFonts w:hint="eastAsia" w:ascii="Times New Roman" w:hAnsi="Times New Roman" w:cs="Times New Roman"/>
          <w:kern w:val="0"/>
          <w:sz w:val="24"/>
          <w:highlight w:val="none"/>
          <w:lang w:eastAsia="zh-CN"/>
        </w:rPr>
        <w:t xml:space="preserve"> </w:t>
      </w:r>
      <w:r>
        <w:rPr>
          <w:rFonts w:hint="default" w:ascii="Times New Roman" w:hAnsi="Times New Roman" w:cs="Times New Roman"/>
          <w:kern w:val="0"/>
          <w:sz w:val="24"/>
          <w:highlight w:val="none"/>
        </w:rPr>
        <w:t>on</w:t>
      </w:r>
      <w:r>
        <w:rPr>
          <w:rFonts w:hint="eastAsia" w:ascii="Times New Roman" w:hAnsi="Times New Roman" w:cs="Times New Roman"/>
          <w:kern w:val="0"/>
          <w:sz w:val="24"/>
          <w:highlight w:val="none"/>
          <w:lang w:eastAsia="zh-CN"/>
        </w:rPr>
        <w:t xml:space="preserve"> </w:t>
      </w:r>
      <w:r>
        <w:rPr>
          <w:rFonts w:hint="eastAsia" w:ascii="Times New Roman" w:hAnsi="Times New Roman" w:cs="Times New Roman"/>
          <w:kern w:val="0"/>
          <w:sz w:val="24"/>
          <w:highlight w:val="none"/>
          <w:lang w:val="en-US" w:eastAsia="zh-CN"/>
        </w:rPr>
        <w:t>September</w:t>
      </w:r>
      <w:r>
        <w:rPr>
          <w:rFonts w:hint="default" w:ascii="Times New Roman" w:hAnsi="Times New Roman" w:cs="Times New Roman"/>
          <w:kern w:val="0"/>
          <w:sz w:val="24"/>
          <w:highlight w:val="none"/>
        </w:rPr>
        <w:t xml:space="preserve"> </w:t>
      </w:r>
      <w:r>
        <w:rPr>
          <w:rFonts w:hint="eastAsia" w:ascii="Times New Roman" w:hAnsi="Times New Roman" w:cs="Times New Roman"/>
          <w:kern w:val="0"/>
          <w:sz w:val="24"/>
          <w:highlight w:val="none"/>
          <w:lang w:val="en-US" w:eastAsia="zh-CN"/>
        </w:rPr>
        <w:t>11</w:t>
      </w:r>
      <w:r>
        <w:rPr>
          <w:rFonts w:hint="default" w:ascii="Times New Roman" w:hAnsi="Times New Roman" w:cs="Times New Roman"/>
          <w:kern w:val="0"/>
          <w:sz w:val="24"/>
          <w:highlight w:val="none"/>
        </w:rPr>
        <w:t>,</w:t>
      </w:r>
      <w:r>
        <w:rPr>
          <w:rFonts w:hint="eastAsia" w:ascii="Times New Roman" w:hAnsi="Times New Roman" w:cs="Times New Roman"/>
          <w:kern w:val="0"/>
          <w:sz w:val="24"/>
          <w:highlight w:val="none"/>
          <w:lang w:eastAsia="zh-CN"/>
        </w:rPr>
        <w:t xml:space="preserve"> </w:t>
      </w:r>
      <w:r>
        <w:rPr>
          <w:rFonts w:hint="default" w:ascii="Times New Roman" w:hAnsi="Times New Roman" w:cs="Times New Roman"/>
          <w:kern w:val="0"/>
          <w:sz w:val="24"/>
          <w:highlight w:val="none"/>
        </w:rPr>
        <w:t>2026; effective as of the date of issuance)</w:t>
      </w:r>
    </w:p>
    <w:p>
      <w:pPr>
        <w:pStyle w:val="3"/>
        <w:keepNext w:val="0"/>
        <w:keepLines w:val="0"/>
        <w:widowControl/>
        <w:suppressLineNumbers w:val="0"/>
        <w:spacing w:before="0" w:beforeAutospacing="0" w:after="315" w:afterAutospacing="0" w:line="450" w:lineRule="atLeast"/>
        <w:ind w:left="585" w:right="0" w:hanging="585"/>
        <w:jc w:val="center"/>
        <w:rPr>
          <w:rFonts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Chapter 1</w:t>
      </w:r>
      <w:r>
        <w:rPr>
          <w:b/>
          <w:bCs/>
          <w:color w:val="333333"/>
          <w:kern w:val="0"/>
          <w:sz w:val="24"/>
        </w:rPr>
        <w:tab/>
      </w:r>
      <w:r>
        <w:rPr>
          <w:rStyle w:val="6"/>
          <w:rFonts w:hint="default" w:ascii="Times New Roman" w:hAnsi="Times New Roman" w:eastAsia="微软雅黑" w:cs="Times New Roman"/>
          <w:b/>
          <w:bCs/>
          <w:i w:val="0"/>
          <w:iCs w:val="0"/>
          <w:caps w:val="0"/>
          <w:color w:val="333333"/>
          <w:spacing w:val="0"/>
          <w:sz w:val="24"/>
          <w:szCs w:val="24"/>
        </w:rPr>
        <w:t>General Provisions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These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w:t>
      </w:r>
      <w:r>
        <w:rPr>
          <w:rStyle w:val="7"/>
          <w:rFonts w:hint="eastAsia" w:ascii="Times New Roman" w:hAnsi="Times New Roman" w:eastAsia="微软雅黑" w:cs="Times New Roman"/>
          <w:i w:val="0"/>
          <w:iCs w:val="0"/>
          <w:caps w:val="0"/>
          <w:color w:val="333333"/>
          <w:spacing w:val="0"/>
          <w:sz w:val="24"/>
          <w:szCs w:val="24"/>
          <w:lang w:val="en-US" w:eastAsia="zh-CN"/>
        </w:rPr>
        <w:t xml:space="preserve"> </w:t>
      </w:r>
      <w:r>
        <w:rPr>
          <w:rFonts w:hint="default" w:ascii="Times New Roman" w:hAnsi="Times New Roman" w:eastAsia="微软雅黑" w:cs="Times New Roman"/>
          <w:i w:val="0"/>
          <w:iCs w:val="0"/>
          <w:caps w:val="0"/>
          <w:color w:val="333333"/>
          <w:spacing w:val="0"/>
          <w:sz w:val="24"/>
          <w:szCs w:val="24"/>
        </w:rPr>
        <w:t>are made in accordance with the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Trading Rules of Zhengzhou Commodity Exchange</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for the purposes of regulating futures trading activities, protecting the lawful rights and interests of the parties in futures trading, and ensuring the smooth conduct of futures trading activities at the Zhengzhou Commodity Exchange (the “</w:t>
      </w:r>
      <w:r>
        <w:rPr>
          <w:rStyle w:val="6"/>
          <w:rFonts w:hint="default" w:ascii="Times New Roman" w:hAnsi="Times New Roman" w:eastAsia="微软雅黑" w:cs="Times New Roman"/>
          <w:b/>
          <w:bCs/>
          <w:i w:val="0"/>
          <w:iCs w:val="0"/>
          <w:caps w:val="0"/>
          <w:color w:val="333333"/>
          <w:spacing w:val="0"/>
          <w:sz w:val="24"/>
          <w:szCs w:val="24"/>
        </w:rPr>
        <w:t>Exchange</w:t>
      </w:r>
      <w:r>
        <w:rPr>
          <w:rFonts w:hint="default" w:ascii="Times New Roman" w:hAnsi="Times New Roman" w:eastAsia="微软雅黑" w:cs="Times New Roman"/>
          <w:i w:val="0"/>
          <w:iCs w:val="0"/>
          <w:caps w:val="0"/>
          <w:color w:val="333333"/>
          <w:spacing w:val="0"/>
          <w:sz w:val="24"/>
          <w:szCs w:val="24"/>
        </w:rPr>
        <w:t>”).</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Members,</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oversea</w:t>
      </w:r>
      <w:r>
        <w:rPr>
          <w:rFonts w:hint="default" w:ascii="Times New Roman" w:hAnsi="Times New Roman" w:eastAsia="宋体" w:cs="Times New Roman"/>
          <w:i w:val="0"/>
          <w:iCs w:val="0"/>
          <w:caps w:val="0"/>
          <w:color w:val="333333"/>
          <w:spacing w:val="0"/>
          <w:sz w:val="24"/>
          <w:szCs w:val="24"/>
        </w:rPr>
        <w:t>s</w:t>
      </w:r>
      <w:r>
        <w:rPr>
          <w:rFonts w:hint="eastAsia" w:ascii="Times New Roman" w:hAnsi="Times New Roman" w:eastAsia="宋体" w:cs="Times New Roman"/>
          <w:i w:val="0"/>
          <w:iCs w:val="0"/>
          <w:caps w:val="0"/>
          <w:color w:val="333333"/>
          <w:spacing w:val="0"/>
          <w:sz w:val="24"/>
          <w:szCs w:val="24"/>
          <w:lang w:val="en-US" w:eastAsia="zh-CN"/>
        </w:rPr>
        <w:t xml:space="preserve"> </w:t>
      </w:r>
      <w:r>
        <w:rPr>
          <w:rFonts w:hint="default" w:ascii="Times New Roman" w:hAnsi="Times New Roman" w:eastAsia="微软雅黑" w:cs="Times New Roman"/>
          <w:i w:val="0"/>
          <w:iCs w:val="0"/>
          <w:caps w:val="0"/>
          <w:color w:val="333333"/>
          <w:spacing w:val="0"/>
          <w:sz w:val="24"/>
          <w:szCs w:val="24"/>
        </w:rPr>
        <w:t>special participants (“</w:t>
      </w:r>
      <w:r>
        <w:rPr>
          <w:rStyle w:val="6"/>
          <w:rFonts w:hint="default" w:ascii="Times New Roman" w:hAnsi="Times New Roman" w:eastAsia="微软雅黑" w:cs="Times New Roman"/>
          <w:b/>
          <w:bCs/>
          <w:i w:val="0"/>
          <w:iCs w:val="0"/>
          <w:caps w:val="0"/>
          <w:color w:val="333333"/>
          <w:spacing w:val="0"/>
          <w:sz w:val="24"/>
          <w:szCs w:val="24"/>
        </w:rPr>
        <w:t>OSPs</w:t>
      </w:r>
      <w:r>
        <w:rPr>
          <w:rFonts w:hint="default" w:ascii="Times New Roman" w:hAnsi="Times New Roman" w:eastAsia="微软雅黑" w:cs="Times New Roman"/>
          <w:i w:val="0"/>
          <w:iCs w:val="0"/>
          <w:caps w:val="0"/>
          <w:color w:val="333333"/>
          <w:spacing w:val="0"/>
          <w:sz w:val="24"/>
          <w:szCs w:val="24"/>
        </w:rPr>
        <w:t>”),</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overseas intermediaries, clients, and IT service providers shall comply with these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w:t>
      </w:r>
      <w:r>
        <w:rPr>
          <w:rFonts w:hint="default" w:ascii="Times New Roman" w:hAnsi="Times New Roman" w:eastAsia="微软雅黑" w:cs="Times New Roman"/>
          <w:i w:val="0"/>
          <w:iCs w:val="0"/>
          <w:caps w:val="0"/>
          <w:color w:val="333333"/>
          <w:spacing w:val="0"/>
          <w:sz w:val="24"/>
          <w:szCs w:val="24"/>
        </w:rPr>
        <w:t>.</w:t>
      </w:r>
    </w:p>
    <w:p>
      <w:pPr>
        <w:pStyle w:val="3"/>
        <w:keepNext w:val="0"/>
        <w:keepLines w:val="0"/>
        <w:widowControl/>
        <w:suppressLineNumbers w:val="0"/>
        <w:spacing w:before="0" w:beforeAutospacing="0" w:after="315" w:afterAutospacing="0" w:line="450" w:lineRule="atLeast"/>
        <w:ind w:left="585" w:right="0" w:hanging="585"/>
        <w:jc w:val="center"/>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Chapter 2</w:t>
      </w:r>
      <w:r>
        <w:rPr>
          <w:b/>
          <w:bCs/>
          <w:color w:val="333333"/>
          <w:kern w:val="0"/>
          <w:sz w:val="24"/>
        </w:rPr>
        <w:tab/>
      </w:r>
      <w:r>
        <w:rPr>
          <w:rStyle w:val="6"/>
          <w:rFonts w:hint="default" w:ascii="Times New Roman" w:hAnsi="Times New Roman" w:eastAsia="微软雅黑" w:cs="Times New Roman"/>
          <w:b/>
          <w:bCs/>
          <w:i w:val="0"/>
          <w:iCs w:val="0"/>
          <w:caps w:val="0"/>
          <w:color w:val="333333"/>
          <w:spacing w:val="0"/>
          <w:sz w:val="24"/>
          <w:szCs w:val="24"/>
        </w:rPr>
        <w:t>Trading Seat Management</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 trading seat is the channel through which a Member or an OSP can participate in the auction trading at the Exchange by inputting trading orders into the Exchange’s electronic trading system.</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trading seats of the Exchange are remote trading seats. A remote trading seat is the channel through which a Member or an OSP can participate, at its own business premises, in the auction trading at the Exchange by directly inputting its trading orders through a trading system connected with the electronic trading system of the Exchange.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Where necessary, the Exchange may set up special trading seats and reach agreements with their users on the relevant rights and obligations.</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A</w:t>
      </w:r>
      <w:r>
        <w:rPr>
          <w:rFonts w:hint="eastAsia" w:ascii="宋体" w:hAnsi="宋体" w:eastAsia="宋体" w:cs="宋体"/>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Member or an OSP shall not permit any other organization or individual to use all or part of trading seats by contracting, subcontracting, subleasing, collateralizing, or transferring the trading seat or otherwise.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 Member may apply for access to a remote trading seat after acquiring the Membership of the Exchange, and an OSP may apply for access to a remote trading seat after acquiring an</w:t>
      </w:r>
      <w:r>
        <w:rPr>
          <w:rFonts w:hint="eastAsia" w:ascii="宋体" w:hAnsi="宋体" w:eastAsia="宋体" w:cs="宋体"/>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OSP license. Additional remote trading seats may be acquired with the approval of the Exchange.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Any additional trading seat acquired by a Member or an OSP only creates an additional trading channel. The Exchange’s rules on position limit, risk control, and other aspects of the Member or OSP remain unchanged.</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6</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 Member or an OSP shall pay the remote trading seat fee each year based on the number of remote trading seats it has acquired. The fee is not refundable even if the corresponding remote trading seat is subsequently terminated.</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rate of the remote trading seat fee will be announced by the Exchange separately.</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7</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Any Member or OSP applying for a remote trading seat shall satisfy the following requirements: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be operationally sound and have no record of a material violation of rules or agreements;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ensure the communications and funds transfer capabilities at where remote trading is to be conducted meet the requirements of the Exchange for futures trading;</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have a fixed venue for remote trading as well as the software and hardware (including but not limited to the electronic trading system and communications system) and the necessary backup protocols needed for auction trading at the Exchange;</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have in place sound rules and policies and remote trading rules;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meet the relevant technical specifications prescribed by the China Securities Regulatory Commission (“</w:t>
      </w:r>
      <w:r>
        <w:rPr>
          <w:rStyle w:val="6"/>
          <w:rFonts w:hint="default" w:ascii="Times New Roman" w:hAnsi="Times New Roman" w:eastAsia="微软雅黑" w:cs="Times New Roman"/>
          <w:b/>
          <w:bCs/>
          <w:i w:val="0"/>
          <w:iCs w:val="0"/>
          <w:caps w:val="0"/>
          <w:color w:val="333333"/>
          <w:spacing w:val="0"/>
          <w:sz w:val="24"/>
          <w:szCs w:val="24"/>
        </w:rPr>
        <w:t>CSRC</w:t>
      </w:r>
      <w:r>
        <w:rPr>
          <w:rFonts w:hint="default" w:ascii="Times New Roman" w:hAnsi="Times New Roman" w:eastAsia="微软雅黑" w:cs="Times New Roman"/>
          <w:i w:val="0"/>
          <w:iCs w:val="0"/>
          <w:caps w:val="0"/>
          <w:color w:val="333333"/>
          <w:spacing w:val="0"/>
          <w:sz w:val="24"/>
          <w:szCs w:val="24"/>
        </w:rPr>
        <w:t>”) and the Exchange.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8</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Any Member or OSP applying for a remote trading seat shall submit the following documents to the Exchange through the member service system:</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application for remote trading seat, covering the reasons, qualifications, and feasibility for obtaining the remote trading seat and other relevant information;</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description of its rules governing remote trading, including data security policies;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configuration list of its computer systems, communications systems (including communication lines), system software, application software, and other relevant software and hardware systems; and</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any</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other documents required by the Exchange.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9</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shall reply to a Member or an OSP on whether its application for remote trading seat has been approved or denied within ten (10) business days after receiving the application.</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10</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remote trading system software and network connection of any Member or OSP applying for a remote trading seat shall pass the tests of the Exchange.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No Member or OSP shall through a remote trading seat or related networks engage in any activity that may jeopardize the Exchange’s trading system.</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Any Member or OSP that is unable to use its remote trading seat as normal during the day session may apply for the use of the emergency trading venue.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Members or OSPs shall strengthen the management of their remote trading seats and the maintenance of their remote trading systems. Any replacement of a main trading facility or upgrade of the remote trading system shall be reported to the Exchange in a timely manner. The Exchange has the right to supervise the use of remote trading seats. The Exchange is not liable for any downtime of a remote trading seat attributable to the public communications network or third-party trading software.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is not liable if, for any reason not attributable to the Exchange, it needs to replace the trading facility or reestablish connections to the trading system for Members or OSPs following the malfunction of the computer</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terminals</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or gateway servers of an emergency trading venue.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 trading seat of a Member or an OSP</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will be</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cancelled if the Member or OSP:</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requests for the cancellation and the request</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is approved by the Exchange;</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permits the trading seat to be used by any</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other</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organization</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or individual</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through</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contracting, subcontracting,</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subleasing, transferring, or otherwise;</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is beset by management issues or commits a material violation;</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and</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uses the trading seat to</w:t>
      </w:r>
      <w:r>
        <w:rPr>
          <w:rFonts w:hint="eastAsia" w:ascii="Times New Roman" w:hAnsi="Times New Roman" w:eastAsia="微软雅黑" w:cs="Times New Roman"/>
          <w:i w:val="0"/>
          <w:iCs w:val="0"/>
          <w:caps w:val="0"/>
          <w:color w:val="333333"/>
          <w:spacing w:val="0"/>
          <w:sz w:val="24"/>
          <w:szCs w:val="24"/>
          <w:lang w:val="en-US" w:eastAsia="zh-CN"/>
        </w:rPr>
        <w:t xml:space="preserve"> </w:t>
      </w:r>
      <w:r>
        <w:rPr>
          <w:rFonts w:hint="default" w:ascii="Times New Roman" w:hAnsi="Times New Roman" w:eastAsia="微软雅黑" w:cs="Times New Roman"/>
          <w:i w:val="0"/>
          <w:iCs w:val="0"/>
          <w:caps w:val="0"/>
          <w:color w:val="333333"/>
          <w:spacing w:val="0"/>
          <w:sz w:val="24"/>
          <w:szCs w:val="24"/>
        </w:rPr>
        <w:t>steal confidential information or</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undermine</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the trading system.</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All remote trading seats of a Member or an OSP are automatically terminated upon the termination of its Membership or OSP lice</w:t>
      </w:r>
      <w:r>
        <w:rPr>
          <w:rFonts w:hint="default" w:ascii="Times New Roman" w:hAnsi="Times New Roman" w:eastAsia="宋体" w:cs="Times New Roman"/>
          <w:i w:val="0"/>
          <w:iCs w:val="0"/>
          <w:caps w:val="0"/>
          <w:color w:val="333333"/>
          <w:spacing w:val="0"/>
          <w:sz w:val="24"/>
          <w:szCs w:val="24"/>
        </w:rPr>
        <w:t>ns</w:t>
      </w:r>
      <w:r>
        <w:rPr>
          <w:rFonts w:hint="default" w:ascii="Times New Roman" w:hAnsi="Times New Roman" w:eastAsia="微软雅黑" w:cs="Times New Roman"/>
          <w:i w:val="0"/>
          <w:iCs w:val="0"/>
          <w:caps w:val="0"/>
          <w:color w:val="333333"/>
          <w:spacing w:val="0"/>
          <w:sz w:val="24"/>
          <w:szCs w:val="24"/>
        </w:rPr>
        <w:t>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16</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may adjust the market opening or closing time; suspend trading activities; adjust the Last Trading Day, expiration date, or Last Delivery Day of a contract or other relevant dates; and take other necessary actions if</w:t>
      </w:r>
      <w:r>
        <w:rPr>
          <w:rFonts w:hint="eastAsia" w:ascii="Times New Roman" w:hAnsi="Times New Roman" w:eastAsia="微软雅黑" w:cs="Times New Roman"/>
          <w:i w:val="0"/>
          <w:iCs w:val="0"/>
          <w:caps w:val="0"/>
          <w:color w:val="333333"/>
          <w:spacing w:val="0"/>
          <w:sz w:val="24"/>
          <w:szCs w:val="24"/>
          <w:lang w:val="en-US" w:eastAsia="zh-CN"/>
        </w:rPr>
        <w:t xml:space="preserve"> 10% or more Members and OSPs are unable to trade due to the malfunction of a computer system, communications system, etc., or if</w:t>
      </w:r>
      <w:r>
        <w:rPr>
          <w:rFonts w:hint="eastAsia" w:ascii="Times New Roman" w:hAnsi="Times New Roman" w:eastAsia="宋体" w:cs="Times New Roman"/>
          <w:i w:val="0"/>
          <w:iCs w:val="0"/>
          <w:caps w:val="0"/>
          <w:color w:val="333333"/>
          <w:spacing w:val="0"/>
          <w:sz w:val="24"/>
          <w:szCs w:val="24"/>
          <w:shd w:val="clear" w:fill="FFFFFF"/>
          <w:lang w:val="en-US" w:eastAsia="zh-CN"/>
        </w:rPr>
        <w:t xml:space="preserve"> </w:t>
      </w:r>
      <w:r>
        <w:rPr>
          <w:rFonts w:hint="default" w:ascii="Times New Roman" w:hAnsi="Times New Roman" w:eastAsia="宋体" w:cs="Times New Roman"/>
          <w:i w:val="0"/>
          <w:iCs w:val="0"/>
          <w:caps w:val="0"/>
          <w:color w:val="333333"/>
          <w:spacing w:val="0"/>
          <w:sz w:val="24"/>
          <w:szCs w:val="24"/>
          <w:shd w:val="clear" w:fill="FFFFFF"/>
        </w:rPr>
        <w:t>other</w:t>
      </w:r>
      <w:r>
        <w:rPr>
          <w:rFonts w:hint="eastAsia" w:ascii="Times New Roman" w:hAnsi="Times New Roman" w:eastAsia="宋体" w:cs="Times New Roman"/>
          <w:i w:val="0"/>
          <w:iCs w:val="0"/>
          <w:caps w:val="0"/>
          <w:color w:val="333333"/>
          <w:spacing w:val="0"/>
          <w:sz w:val="24"/>
          <w:szCs w:val="24"/>
          <w:shd w:val="clear" w:fill="FFFFFF"/>
          <w:lang w:val="en-US" w:eastAsia="zh-CN"/>
        </w:rPr>
        <w:t xml:space="preserve"> circumstances occur which the Exchange deems necessary.</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17</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does not process any application for or modification or cancellation of remote trading seats during night session.</w:t>
      </w:r>
    </w:p>
    <w:p>
      <w:pPr>
        <w:pStyle w:val="3"/>
        <w:keepNext w:val="0"/>
        <w:keepLines w:val="0"/>
        <w:widowControl/>
        <w:suppressLineNumbers w:val="0"/>
        <w:spacing w:before="0" w:beforeAutospacing="0" w:after="315" w:afterAutospacing="0" w:line="450" w:lineRule="atLeast"/>
        <w:ind w:left="585" w:right="0" w:hanging="585"/>
        <w:jc w:val="center"/>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Chapter 3</w:t>
      </w:r>
      <w:r>
        <w:rPr>
          <w:b/>
          <w:bCs/>
          <w:color w:val="333333"/>
          <w:kern w:val="0"/>
          <w:sz w:val="24"/>
        </w:rPr>
        <w:tab/>
      </w:r>
      <w:r>
        <w:rPr>
          <w:rStyle w:val="6"/>
          <w:rFonts w:hint="default" w:ascii="Times New Roman" w:hAnsi="Times New Roman" w:eastAsia="微软雅黑" w:cs="Times New Roman"/>
          <w:b/>
          <w:bCs/>
          <w:i w:val="0"/>
          <w:iCs w:val="0"/>
          <w:caps w:val="0"/>
          <w:color w:val="333333"/>
          <w:spacing w:val="0"/>
          <w:sz w:val="24"/>
          <w:szCs w:val="24"/>
        </w:rPr>
        <w:t>Trading Codes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18</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implements a trading code system.</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trading code is a dedicated code assigned by the Exchange to a non-futures brokerage Member (“</w:t>
      </w:r>
      <w:r>
        <w:rPr>
          <w:rStyle w:val="6"/>
          <w:rFonts w:hint="default" w:ascii="Times New Roman" w:hAnsi="Times New Roman" w:eastAsia="微软雅黑" w:cs="Times New Roman"/>
          <w:b/>
          <w:bCs/>
          <w:i w:val="0"/>
          <w:iCs w:val="0"/>
          <w:caps w:val="0"/>
          <w:color w:val="333333"/>
          <w:spacing w:val="0"/>
          <w:sz w:val="24"/>
          <w:szCs w:val="24"/>
        </w:rPr>
        <w:t>Non-FB Member</w:t>
      </w:r>
      <w:r>
        <w:rPr>
          <w:rFonts w:hint="default" w:ascii="Times New Roman" w:hAnsi="Times New Roman" w:eastAsia="微软雅黑" w:cs="Times New Roman"/>
          <w:i w:val="0"/>
          <w:iCs w:val="0"/>
          <w:caps w:val="0"/>
          <w:color w:val="333333"/>
          <w:spacing w:val="0"/>
          <w:sz w:val="24"/>
          <w:szCs w:val="24"/>
        </w:rPr>
        <w:t>”), an overseas special non-brokerage participant (“</w:t>
      </w:r>
      <w:r>
        <w:rPr>
          <w:rStyle w:val="6"/>
          <w:rFonts w:hint="default" w:ascii="Times New Roman" w:hAnsi="Times New Roman" w:eastAsia="微软雅黑" w:cs="Times New Roman"/>
          <w:b/>
          <w:bCs/>
          <w:i w:val="0"/>
          <w:iCs w:val="0"/>
          <w:caps w:val="0"/>
          <w:color w:val="333333"/>
          <w:spacing w:val="0"/>
          <w:sz w:val="24"/>
          <w:szCs w:val="24"/>
        </w:rPr>
        <w:t>OSNBP</w:t>
      </w:r>
      <w:r>
        <w:rPr>
          <w:rFonts w:hint="default" w:ascii="Times New Roman" w:hAnsi="Times New Roman" w:eastAsia="微软雅黑" w:cs="Times New Roman"/>
          <w:i w:val="0"/>
          <w:iCs w:val="0"/>
          <w:caps w:val="0"/>
          <w:color w:val="333333"/>
          <w:spacing w:val="0"/>
          <w:sz w:val="24"/>
          <w:szCs w:val="24"/>
        </w:rPr>
        <w:t>”) or a client for the purposes of trading, clearing, delivery, and confirmation of standard warehouse receipts.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19</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 trading code consists of 12 digits. For client trading code of an FB Member, the first 4 digits are the Member code and the remaining 8 digits are the client code; and for client trading code of an overseas special brokerage participant</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w:t>
      </w:r>
      <w:r>
        <w:rPr>
          <w:rStyle w:val="6"/>
          <w:rFonts w:hint="default" w:ascii="Times New Roman" w:hAnsi="Times New Roman" w:eastAsia="微软雅黑" w:cs="Times New Roman"/>
          <w:b/>
          <w:bCs/>
          <w:i w:val="0"/>
          <w:iCs w:val="0"/>
          <w:caps w:val="0"/>
          <w:color w:val="333333"/>
          <w:spacing w:val="0"/>
          <w:sz w:val="24"/>
          <w:szCs w:val="24"/>
        </w:rPr>
        <w:t>OSBP</w:t>
      </w:r>
      <w:r>
        <w:rPr>
          <w:rFonts w:hint="default" w:ascii="Times New Roman" w:hAnsi="Times New Roman" w:eastAsia="微软雅黑" w:cs="Times New Roman"/>
          <w:i w:val="0"/>
          <w:iCs w:val="0"/>
          <w:caps w:val="0"/>
          <w:color w:val="333333"/>
          <w:spacing w:val="0"/>
          <w:sz w:val="24"/>
          <w:szCs w:val="24"/>
        </w:rPr>
        <w:t>”), the first 4 digits are the OSP code, and the remaining 8 digits are the client code.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20</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Each Non-FB Member</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and OSNBP</w:t>
      </w:r>
      <w:r>
        <w:rPr>
          <w:rFonts w:hint="eastAsia" w:ascii="Times New Roman" w:hAnsi="Times New Roman" w:eastAsia="微软雅黑" w:cs="Times New Roman"/>
          <w:i w:val="0"/>
          <w:iCs w:val="0"/>
          <w:caps w:val="0"/>
          <w:color w:val="333333"/>
          <w:spacing w:val="0"/>
          <w:sz w:val="24"/>
          <w:szCs w:val="24"/>
          <w:lang w:val="en-US" w:eastAsia="zh-CN"/>
        </w:rPr>
        <w:t xml:space="preserve"> </w:t>
      </w:r>
      <w:r>
        <w:rPr>
          <w:rFonts w:hint="default" w:ascii="Times New Roman" w:hAnsi="Times New Roman" w:eastAsia="微软雅黑" w:cs="Times New Roman"/>
          <w:i w:val="0"/>
          <w:iCs w:val="0"/>
          <w:caps w:val="0"/>
          <w:color w:val="333333"/>
          <w:spacing w:val="0"/>
          <w:sz w:val="24"/>
          <w:szCs w:val="24"/>
        </w:rPr>
        <w:t xml:space="preserve">shall in principle only have one trading code. Where additional trading codes are needed, the Non-FB Member shall apply to the Exchange in writing and state the reasons. Approval of additional trading codes </w:t>
      </w:r>
      <w:r>
        <w:rPr>
          <w:rStyle w:val="6"/>
          <w:rFonts w:hint="default" w:ascii="Times New Roman" w:hAnsi="Times New Roman" w:eastAsia="微软雅黑" w:cs="Times New Roman"/>
          <w:bCs/>
          <w:color w:val="333333"/>
          <w:sz w:val="24"/>
        </w:rPr>
        <w:t xml:space="preserve">is </w:t>
      </w:r>
      <w:r>
        <w:rPr>
          <w:rFonts w:hint="default" w:ascii="Times New Roman" w:hAnsi="Times New Roman" w:eastAsia="微软雅黑" w:cs="Times New Roman"/>
          <w:i w:val="0"/>
          <w:iCs w:val="0"/>
          <w:caps w:val="0"/>
          <w:color w:val="333333"/>
          <w:spacing w:val="0"/>
          <w:sz w:val="24"/>
          <w:szCs w:val="24"/>
        </w:rPr>
        <w:t>contingent on the trading history of the Non-FB Member.</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FB Members, OSBPs,</w:t>
      </w:r>
      <w:r>
        <w:rPr>
          <w:rFonts w:hint="eastAsia" w:ascii="Times New Roman" w:hAnsi="Times New Roman" w:eastAsia="微软雅黑" w:cs="Times New Roman"/>
          <w:i w:val="0"/>
          <w:iCs w:val="0"/>
          <w:caps w:val="0"/>
          <w:color w:val="333333"/>
          <w:spacing w:val="0"/>
          <w:sz w:val="24"/>
          <w:szCs w:val="24"/>
          <w:lang w:val="en-US" w:eastAsia="zh-CN"/>
        </w:rPr>
        <w:t xml:space="preserve"> </w:t>
      </w:r>
      <w:r>
        <w:rPr>
          <w:rFonts w:hint="default" w:ascii="Times New Roman" w:hAnsi="Times New Roman" w:eastAsia="微软雅黑" w:cs="Times New Roman"/>
          <w:i w:val="0"/>
          <w:iCs w:val="0"/>
          <w:caps w:val="0"/>
          <w:color w:val="333333"/>
          <w:spacing w:val="0"/>
          <w:sz w:val="24"/>
          <w:szCs w:val="24"/>
        </w:rPr>
        <w:t>and overseas intermediaries</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(collectively “</w:t>
      </w:r>
      <w:r>
        <w:rPr>
          <w:rStyle w:val="6"/>
          <w:rFonts w:hint="default" w:ascii="Times New Roman" w:hAnsi="Times New Roman" w:eastAsia="微软雅黑" w:cs="Times New Roman"/>
          <w:b/>
          <w:bCs/>
          <w:i w:val="0"/>
          <w:iCs w:val="0"/>
          <w:caps w:val="0"/>
          <w:color w:val="333333"/>
          <w:spacing w:val="0"/>
          <w:sz w:val="24"/>
          <w:szCs w:val="24"/>
        </w:rPr>
        <w:t>Account-Opening Institutions</w:t>
      </w:r>
      <w:r>
        <w:rPr>
          <w:rFonts w:hint="default" w:ascii="Times New Roman" w:hAnsi="Times New Roman" w:eastAsia="微软雅黑" w:cs="Times New Roman"/>
          <w:i w:val="0"/>
          <w:iCs w:val="0"/>
          <w:caps w:val="0"/>
          <w:color w:val="333333"/>
          <w:spacing w:val="0"/>
          <w:sz w:val="24"/>
          <w:szCs w:val="24"/>
        </w:rPr>
        <w:t>”)</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shall apply for and cancel trading codes for clients and update trading code-related client materials through the Unified Account Management System of the China Futures Market Monitoring Center Co., Ltd. (“</w:t>
      </w:r>
      <w:r>
        <w:rPr>
          <w:rStyle w:val="6"/>
          <w:rFonts w:hint="default" w:ascii="Times New Roman" w:hAnsi="Times New Roman" w:eastAsia="微软雅黑" w:cs="Times New Roman"/>
          <w:b/>
          <w:bCs/>
          <w:i w:val="0"/>
          <w:iCs w:val="0"/>
          <w:caps w:val="0"/>
          <w:color w:val="333333"/>
          <w:spacing w:val="0"/>
          <w:sz w:val="24"/>
          <w:szCs w:val="24"/>
        </w:rPr>
        <w:t>CFMMC</w:t>
      </w:r>
      <w:r>
        <w:rPr>
          <w:rFonts w:hint="default" w:ascii="Times New Roman" w:hAnsi="Times New Roman" w:eastAsia="微软雅黑" w:cs="Times New Roman"/>
          <w:i w:val="0"/>
          <w:iCs w:val="0"/>
          <w:caps w:val="0"/>
          <w:color w:val="333333"/>
          <w:spacing w:val="0"/>
          <w:sz w:val="24"/>
          <w:szCs w:val="24"/>
        </w:rPr>
        <w:t>”) in accordance with its account management rules.</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Securities companies, fund management companies, trust companies, and other financial institutions as well as social security-related companies, Qualified Foreign Institutional Investors, RMB Qualified Foreign Institutional Investors, and other Special Institutional Clients that are required by the laws, regulations, and ministry-level rules of China to manage assets in a segregated account may apply for trading codes in accordance with the rules of CFMMC.</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Exchange shall allocate, assign, and manage a client’s trading code after receiving the account opening application materials of the client forwarded by the CFMMC, and report the processing results to the account opening institution via the CFMMC.</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Exchange shall allocate, assign, and manage the trading code of a Non-FB Member and an OSNBP, after receiving the account opening application materials of</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宋体" w:cs="Times New Roman"/>
          <w:i w:val="0"/>
          <w:iCs w:val="0"/>
          <w:caps w:val="0"/>
          <w:color w:val="333333"/>
          <w:spacing w:val="0"/>
          <w:sz w:val="24"/>
          <w:szCs w:val="24"/>
        </w:rPr>
        <w:t>such</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Non-FB Member and OSNBP, and report to them the processing results, respectively.</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trading codes can only be used after being reviewed and confirmed by the Exchange.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Each client has only one client code at the Exchange at any time, but may open accounts with different Account-Opening Institutions. A client’s trading codes at different Account-Opening Institutions shall have identical last eight digits (i.e., the client code part).</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Account-Opening Institutions</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shall ensure that their client materials are authentic and truthful, lawful, valid, and accurate, and shall properly preserve the materials and records related to the opening, change, and closure of client accounts.</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above materials shall be preserved for not less than twenty (20) years.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Where a client provides false materials or is a prohibited market participant, the Exchange may take such actions as suspending the client from opening new positions, requiring it to close out its positions within a prescribed time limit, and cancel its trading codes.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Where a Non-FB Member, an OSNBP,</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or a client opens account with false materials or where an Account-Opening Institution assists its client to open account with false materials, the Exchange may order the Non-FB Member or client to close out its positions within a prescribed time limit. The Exchange will then cancel the relevant trading codes and take further actions in accordance with the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 of Zhengzhou Commodity Exchange on Violations</w:t>
      </w:r>
      <w:r>
        <w:rPr>
          <w:rFonts w:hint="default" w:ascii="Times New Roman" w:hAnsi="Times New Roman" w:eastAsia="微软雅黑" w:cs="Times New Roman"/>
          <w:i w:val="0"/>
          <w:iCs w:val="0"/>
          <w:caps w:val="0"/>
          <w:color w:val="333333"/>
          <w:spacing w:val="0"/>
          <w:sz w:val="24"/>
          <w:szCs w:val="24"/>
        </w:rPr>
        <w:t>.</w:t>
      </w:r>
    </w:p>
    <w:p>
      <w:pPr>
        <w:pStyle w:val="3"/>
        <w:keepNext w:val="0"/>
        <w:keepLines w:val="0"/>
        <w:widowControl/>
        <w:suppressLineNumbers w:val="0"/>
        <w:spacing w:before="0" w:beforeAutospacing="0" w:after="315" w:afterAutospacing="0" w:line="450" w:lineRule="atLeast"/>
        <w:ind w:left="585" w:right="0" w:hanging="585"/>
        <w:jc w:val="center"/>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 xml:space="preserve">Chapter </w:t>
      </w:r>
      <w:r>
        <w:rPr>
          <w:rStyle w:val="6"/>
          <w:rFonts w:hint="eastAsia" w:ascii="Times New Roman" w:hAnsi="Times New Roman" w:eastAsia="微软雅黑" w:cs="Times New Roman"/>
          <w:b/>
          <w:bCs/>
          <w:i w:val="0"/>
          <w:iCs w:val="0"/>
          <w:caps w:val="0"/>
          <w:color w:val="333333"/>
          <w:spacing w:val="0"/>
          <w:sz w:val="24"/>
          <w:szCs w:val="24"/>
          <w:lang w:val="en-US" w:eastAsia="zh-CN"/>
        </w:rPr>
        <w:t>4</w:t>
      </w:r>
      <w:r>
        <w:rPr>
          <w:b/>
          <w:bCs/>
          <w:color w:val="333333"/>
          <w:kern w:val="0"/>
          <w:sz w:val="24"/>
        </w:rPr>
        <w:tab/>
      </w:r>
      <w:r>
        <w:rPr>
          <w:rStyle w:val="6"/>
          <w:rFonts w:hint="default" w:ascii="Times New Roman" w:hAnsi="Times New Roman" w:eastAsia="微软雅黑" w:cs="Times New Roman"/>
          <w:b/>
          <w:bCs/>
          <w:i w:val="0"/>
          <w:iCs w:val="0"/>
          <w:caps w:val="0"/>
          <w:color w:val="333333"/>
          <w:spacing w:val="0"/>
          <w:sz w:val="24"/>
          <w:szCs w:val="24"/>
        </w:rPr>
        <w:t>Trading Hours, Trading Orders, and Prices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26</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 futures trading day is divided into a night session and a day session. Each night session has one (1) sub-session of trading,</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the specific trading hours of which will be separately announced by the Exchange. Each day session has two (2) sub-sessions of trading. The first sub-session runs from 9:00 a.m. to 11:30 a.m., with a break from 10:15 a.m. to 10:30 a.m.; the second sub-session runs from 1:30 p.m. to 3:00 p.m. The products tradable during the night session will be separately announced by the Exchange.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With respect to any product tradable during the night session, a trading day runs from market open of the night session to market close of the immediately following day session.</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27</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trading orders for futures products at the Exchange are limit orders, market orders, spread orders, cancellation orders, and such other orders as specified by the Exchange.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A limit order is an order to be executed at the given</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price or better. Limit orders not filled during a call auction will remain outstanding after market open.</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A market order is an unpriced order to be executed at the best executable price (quote) then available on the market. Market orders do not participate in call auctions and take precedence over limit orders during trading. In the event that there are only bids and no asks or vice versa (“</w:t>
      </w:r>
      <w:r>
        <w:rPr>
          <w:rStyle w:val="6"/>
          <w:rFonts w:hint="default" w:ascii="Times New Roman" w:hAnsi="Times New Roman" w:eastAsia="微软雅黑" w:cs="Times New Roman"/>
          <w:b/>
          <w:bCs/>
          <w:i w:val="0"/>
          <w:iCs w:val="0"/>
          <w:caps w:val="0"/>
          <w:color w:val="333333"/>
          <w:spacing w:val="0"/>
          <w:sz w:val="24"/>
          <w:szCs w:val="24"/>
        </w:rPr>
        <w:t>One-Sided Market</w:t>
      </w:r>
      <w:r>
        <w:rPr>
          <w:rFonts w:hint="default" w:ascii="Times New Roman" w:hAnsi="Times New Roman" w:eastAsia="微软雅黑" w:cs="Times New Roman"/>
          <w:i w:val="0"/>
          <w:iCs w:val="0"/>
          <w:caps w:val="0"/>
          <w:color w:val="333333"/>
          <w:spacing w:val="0"/>
          <w:sz w:val="24"/>
          <w:szCs w:val="24"/>
        </w:rPr>
        <w:t>”), all unfilled market orders are automatically cancelled.</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Spread orders are classified into calendar spread orders and intercommodity spread orders. A calendar spread order is an order to simultaneously buy and sell two futures contracts of the same underlying but different expiration dates. An intercommodity spread order is an order to simultaneously buy and sell two futures contracts of different underlyings. Spread orders do not participate in call auctions and</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shall</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not be placed in a One-Sided Market.</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products to which the intercommodity spread order is available will be separately announced by the Exchange.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A cancellation order is a client order to cancel a particular order.</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minimum order size and maximum order size are specified in the product-specific rules. The Exchange may, in view of market conditions, separately adjust the minimum order size and maximum order size for each listed product and contract; the specific thresholds will be separately announced by the Exchange. The “minimum order size” as referred to in this Article is further divided into minimum order size to open positions and minimum order size to close positions; the “maximum order size” as referred to in this Article is further divided into maximum order size to open positions and maximum order size to close positions.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28</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 xml:space="preserve">With respect to any product tradable during the night session, the opening auction is held in the five (5) minutes before the start of the night session or, if </w:t>
      </w:r>
      <w:r>
        <w:rPr>
          <w:rFonts w:hint="default" w:ascii="Times New Roman" w:hAnsi="Times New Roman" w:eastAsia="微软雅黑" w:cs="Times New Roman"/>
          <w:i w:val="0"/>
          <w:iCs w:val="0"/>
          <w:caps w:val="0"/>
          <w:color w:val="333333"/>
          <w:spacing w:val="0"/>
          <w:sz w:val="24"/>
          <w:szCs w:val="24"/>
          <w:lang w:val="en-US"/>
        </w:rPr>
        <w:t>no trading has taken place during the</w:t>
      </w:r>
      <w:r>
        <w:rPr>
          <w:rFonts w:hint="default" w:ascii="Times New Roman" w:hAnsi="Times New Roman" w:eastAsia="微软雅黑" w:cs="Times New Roman"/>
          <w:i w:val="0"/>
          <w:iCs w:val="0"/>
          <w:caps w:val="0"/>
          <w:color w:val="333333"/>
          <w:spacing w:val="0"/>
          <w:sz w:val="24"/>
          <w:szCs w:val="24"/>
        </w:rPr>
        <w:t xml:space="preserve"> night session, in the five (5) minutes before the start of the immediately following day session. With respect to any product not tradable during the night session, the opening auction is held in the five (5) minutes before the start of the day session. The first four (4) minutes of a call auction is for placing buy and sell orders and the remaining one (1) minute is for order matching. The opening price is established at the time the market opens.</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Exchange’s trading system automatically controls the starting and ending time for order submission during a call auction and displays the particulars in computer terminals.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29</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volume maximization rule applies to a call auction, i.e., orders are matched at a price that maximizes resulting trading volume.</w:t>
      </w:r>
    </w:p>
    <w:p>
      <w:pPr>
        <w:widowControl/>
        <w:snapToGrid w:val="0"/>
        <w:spacing w:after="312" w:afterLines="100" w:line="276" w:lineRule="auto"/>
        <w:ind w:left="1440" w:hanging="1440"/>
        <w:rPr>
          <w:rFonts w:hint="eastAsia" w:ascii="Calibri" w:hAnsi="Calibri" w:eastAsia="微软雅黑" w:cs="Calibri"/>
          <w:sz w:val="21"/>
          <w:szCs w:val="21"/>
          <w:lang w:val="en-US" w:eastAsia="zh-CN"/>
        </w:rPr>
      </w:pPr>
      <w:r>
        <w:rPr>
          <w:rStyle w:val="6"/>
          <w:rFonts w:hint="default" w:ascii="Times New Roman" w:hAnsi="Times New Roman" w:eastAsia="微软雅黑" w:cs="Times New Roman"/>
          <w:b/>
          <w:bCs/>
          <w:i w:val="0"/>
          <w:iCs w:val="0"/>
          <w:caps w:val="0"/>
          <w:color w:val="333333"/>
          <w:spacing w:val="0"/>
          <w:sz w:val="24"/>
          <w:szCs w:val="24"/>
        </w:rPr>
        <w:t>Article 30</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 xml:space="preserve">Any unfilled orders from an </w:t>
      </w:r>
      <w:r>
        <w:rPr>
          <w:rFonts w:hint="default" w:ascii="Times New Roman" w:hAnsi="Times New Roman" w:eastAsia="微软雅黑" w:cs="Times New Roman"/>
          <w:i w:val="0"/>
          <w:iCs w:val="0"/>
          <w:caps w:val="0"/>
          <w:color w:val="333333"/>
          <w:spacing w:val="0"/>
          <w:sz w:val="24"/>
          <w:szCs w:val="24"/>
          <w:lang w:val="en-US"/>
        </w:rPr>
        <w:t>opening</w:t>
      </w:r>
      <w:r>
        <w:rPr>
          <w:rFonts w:hint="default" w:ascii="Times New Roman" w:hAnsi="Times New Roman" w:eastAsia="微软雅黑" w:cs="Times New Roman"/>
          <w:i w:val="0"/>
          <w:iCs w:val="0"/>
          <w:caps w:val="0"/>
          <w:color w:val="333333"/>
          <w:spacing w:val="0"/>
          <w:sz w:val="24"/>
          <w:szCs w:val="24"/>
        </w:rPr>
        <w:t xml:space="preserve"> auction</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will</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automatically participate in the continuous auction following market open.</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Any unfilled orders from the night session</w:t>
      </w:r>
      <w:bookmarkStart w:id="0" w:name="OLE_LINK1"/>
      <w:r>
        <w:rPr>
          <w:rFonts w:hint="default" w:ascii="Times New Roman" w:hAnsi="Times New Roman" w:eastAsia="微软雅黑" w:cs="Times New Roman"/>
          <w:i w:val="0"/>
          <w:iCs w:val="0"/>
          <w:caps w:val="0"/>
          <w:color w:val="333333"/>
          <w:spacing w:val="0"/>
          <w:sz w:val="24"/>
          <w:szCs w:val="24"/>
        </w:rPr>
        <w:t xml:space="preserve"> of a given trading day </w:t>
      </w:r>
      <w:r>
        <w:rPr>
          <w:rFonts w:hint="default" w:ascii="Times New Roman" w:hAnsi="Times New Roman" w:eastAsia="微软雅黑" w:cs="Times New Roman"/>
          <w:i w:val="0"/>
          <w:iCs w:val="0"/>
          <w:caps w:val="0"/>
          <w:color w:val="333333"/>
          <w:spacing w:val="0"/>
          <w:sz w:val="24"/>
          <w:szCs w:val="24"/>
          <w:lang w:val="en-US"/>
        </w:rPr>
        <w:t>may be cancelled between 8:55 a.m. and 8:59 a.m. on the same trading day</w:t>
      </w:r>
      <w:r>
        <w:rPr>
          <w:rFonts w:hint="default" w:ascii="Times New Roman" w:hAnsi="Times New Roman" w:eastAsia="微软雅黑" w:cs="Times New Roman"/>
          <w:i w:val="0"/>
          <w:iCs w:val="0"/>
          <w:caps w:val="0"/>
          <w:color w:val="333333"/>
          <w:spacing w:val="0"/>
          <w:sz w:val="24"/>
          <w:szCs w:val="24"/>
        </w:rPr>
        <w:t>.</w:t>
      </w:r>
      <w:bookmarkEnd w:id="0"/>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Following market open, the Exchange’s electronic order-matching system arranges buy and sell orders by price-time priority. A buy order and a sell order will be automatically matched and executed if the former is priced higher than or equal to the latter; the execution price is the middle one among the buying price (“</w:t>
      </w:r>
      <w:r>
        <w:rPr>
          <w:rStyle w:val="6"/>
          <w:rFonts w:hint="default" w:ascii="Times New Roman" w:hAnsi="Times New Roman" w:eastAsia="微软雅黑" w:cs="Times New Roman"/>
          <w:b/>
          <w:bCs/>
          <w:i w:val="0"/>
          <w:iCs w:val="0"/>
          <w:caps w:val="0"/>
          <w:color w:val="333333"/>
          <w:spacing w:val="0"/>
          <w:sz w:val="24"/>
          <w:szCs w:val="24"/>
        </w:rPr>
        <w:t>bp</w:t>
      </w:r>
      <w:r>
        <w:rPr>
          <w:rFonts w:hint="default" w:ascii="Times New Roman" w:hAnsi="Times New Roman" w:eastAsia="微软雅黑" w:cs="Times New Roman"/>
          <w:i w:val="0"/>
          <w:iCs w:val="0"/>
          <w:caps w:val="0"/>
          <w:color w:val="333333"/>
          <w:spacing w:val="0"/>
          <w:sz w:val="24"/>
          <w:szCs w:val="24"/>
        </w:rPr>
        <w:t>”), the selling price (“</w:t>
      </w:r>
      <w:r>
        <w:rPr>
          <w:rStyle w:val="6"/>
          <w:rFonts w:hint="default" w:ascii="Times New Roman" w:hAnsi="Times New Roman" w:eastAsia="微软雅黑" w:cs="Times New Roman"/>
          <w:b/>
          <w:bCs/>
          <w:i w:val="0"/>
          <w:iCs w:val="0"/>
          <w:caps w:val="0"/>
          <w:color w:val="333333"/>
          <w:spacing w:val="0"/>
          <w:sz w:val="24"/>
          <w:szCs w:val="24"/>
        </w:rPr>
        <w:t>sp</w:t>
      </w:r>
      <w:r>
        <w:rPr>
          <w:rFonts w:hint="default" w:ascii="Times New Roman" w:hAnsi="Times New Roman" w:eastAsia="微软雅黑" w:cs="Times New Roman"/>
          <w:i w:val="0"/>
          <w:iCs w:val="0"/>
          <w:caps w:val="0"/>
          <w:color w:val="333333"/>
          <w:spacing w:val="0"/>
          <w:sz w:val="24"/>
          <w:szCs w:val="24"/>
        </w:rPr>
        <w:t>”), and the previous execution price (“</w:t>
      </w:r>
      <w:r>
        <w:rPr>
          <w:rStyle w:val="6"/>
          <w:rFonts w:hint="default" w:ascii="Times New Roman" w:hAnsi="Times New Roman" w:eastAsia="微软雅黑" w:cs="Times New Roman"/>
          <w:b/>
          <w:bCs/>
          <w:i w:val="0"/>
          <w:iCs w:val="0"/>
          <w:caps w:val="0"/>
          <w:color w:val="333333"/>
          <w:spacing w:val="0"/>
          <w:sz w:val="24"/>
          <w:szCs w:val="24"/>
        </w:rPr>
        <w:t>cp</w:t>
      </w:r>
      <w:r>
        <w:rPr>
          <w:rFonts w:hint="default" w:ascii="Times New Roman" w:hAnsi="Times New Roman" w:eastAsia="微软雅黑" w:cs="Times New Roman"/>
          <w:i w:val="0"/>
          <w:iCs w:val="0"/>
          <w:caps w:val="0"/>
          <w:color w:val="333333"/>
          <w:spacing w:val="0"/>
          <w:sz w:val="24"/>
          <w:szCs w:val="24"/>
        </w:rPr>
        <w:t>”), i.e.,</w:t>
      </w:r>
    </w:p>
    <w:p>
      <w:pPr>
        <w:pStyle w:val="3"/>
        <w:keepNext w:val="0"/>
        <w:keepLines w:val="0"/>
        <w:widowControl/>
        <w:suppressLineNumbers w:val="0"/>
        <w:spacing w:before="0" w:beforeAutospacing="0" w:after="315" w:afterAutospacing="0" w:line="239" w:lineRule="atLeast"/>
        <w:ind w:left="1440" w:right="0" w:firstLine="420"/>
        <w:jc w:val="both"/>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When bp ≥ sp ≥ cp, the latest execution price = sp;</w:t>
      </w:r>
    </w:p>
    <w:p>
      <w:pPr>
        <w:pStyle w:val="3"/>
        <w:keepNext w:val="0"/>
        <w:keepLines w:val="0"/>
        <w:widowControl/>
        <w:suppressLineNumbers w:val="0"/>
        <w:spacing w:before="0" w:beforeAutospacing="0" w:after="315" w:afterAutospacing="0" w:line="239" w:lineRule="atLeast"/>
        <w:ind w:left="1440" w:right="0" w:firstLine="420"/>
        <w:jc w:val="both"/>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When bp ≥ cp ≥ sp, the latest execution price = cp;</w:t>
      </w:r>
    </w:p>
    <w:p>
      <w:pPr>
        <w:pStyle w:val="3"/>
        <w:keepNext w:val="0"/>
        <w:keepLines w:val="0"/>
        <w:widowControl/>
        <w:suppressLineNumbers w:val="0"/>
        <w:spacing w:before="0" w:beforeAutospacing="0" w:after="315" w:afterAutospacing="0" w:line="239" w:lineRule="atLeast"/>
        <w:ind w:left="1440" w:right="0" w:firstLine="420"/>
        <w:jc w:val="both"/>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When cp ≥ bp ≥ sp, the latest execution price = bp.</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Orders in futures contract that are executed at the limit price will be matched and executed by close-out priority and time priority.</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shall publish the following trading-related information in a timely manner:</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 xml:space="preserve">Opening price. Opening price refers to the execution price of a futures contract established in the five (5) minutes of </w:t>
      </w:r>
      <w:r>
        <w:rPr>
          <w:rFonts w:hint="default" w:ascii="Times New Roman" w:hAnsi="Times New Roman" w:eastAsia="微软雅黑" w:cs="Times New Roman"/>
          <w:i w:val="0"/>
          <w:iCs w:val="0"/>
          <w:caps w:val="0"/>
          <w:color w:val="333333"/>
          <w:spacing w:val="0"/>
          <w:sz w:val="24"/>
          <w:szCs w:val="24"/>
          <w:lang w:val="en-US"/>
        </w:rPr>
        <w:t>call</w:t>
      </w:r>
      <w:r>
        <w:rPr>
          <w:rFonts w:hint="default" w:ascii="Times New Roman" w:hAnsi="Times New Roman" w:eastAsia="微软雅黑" w:cs="Times New Roman"/>
          <w:i w:val="0"/>
          <w:iCs w:val="0"/>
          <w:caps w:val="0"/>
          <w:color w:val="333333"/>
          <w:spacing w:val="0"/>
          <w:sz w:val="24"/>
          <w:szCs w:val="24"/>
        </w:rPr>
        <w:t xml:space="preserve"> auction before market open or, if no execution price has been established thusly, the first execution price after the </w:t>
      </w:r>
      <w:r>
        <w:rPr>
          <w:rFonts w:hint="default" w:ascii="Times New Roman" w:hAnsi="Times New Roman" w:eastAsia="微软雅黑" w:cs="Times New Roman"/>
          <w:i w:val="0"/>
          <w:iCs w:val="0"/>
          <w:caps w:val="0"/>
          <w:color w:val="333333"/>
          <w:spacing w:val="0"/>
          <w:sz w:val="24"/>
          <w:szCs w:val="24"/>
          <w:lang w:val="en-US"/>
        </w:rPr>
        <w:t>call</w:t>
      </w:r>
      <w:r>
        <w:rPr>
          <w:rFonts w:hint="default" w:ascii="Times New Roman" w:hAnsi="Times New Roman" w:eastAsia="微软雅黑" w:cs="Times New Roman"/>
          <w:i w:val="0"/>
          <w:iCs w:val="0"/>
          <w:caps w:val="0"/>
          <w:color w:val="333333"/>
          <w:spacing w:val="0"/>
          <w:sz w:val="24"/>
          <w:szCs w:val="24"/>
        </w:rPr>
        <w:t xml:space="preserve"> auction. The first execution price is determined in accordance with the order-matching rules in these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w:t>
      </w:r>
      <w:r>
        <w:rPr>
          <w:rFonts w:hint="default" w:ascii="Times New Roman" w:hAnsi="Times New Roman" w:eastAsia="微软雅黑" w:cs="Times New Roman"/>
          <w:i w:val="0"/>
          <w:iCs w:val="0"/>
          <w:caps w:val="0"/>
          <w:color w:val="333333"/>
          <w:spacing w:val="0"/>
          <w:sz w:val="24"/>
          <w:szCs w:val="24"/>
        </w:rPr>
        <w:t>, and for which purpose the previous execution price is the closing price of the preceding trading day and, for a newly listed contract, the listing benchmark price.</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Closing price. Closing price, with respect to a given futures contract, refers to the execution price of the last trade in the contract on a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High price. High price refers to the highest among all the execution prices of a futures contract within a certain period.</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Low price. Low price refers to the lowest among all the execution prices of a futures contract within a certain period.</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 xml:space="preserve">Last price. Last price refers to the real-time execution </w:t>
      </w:r>
      <w:r>
        <w:rPr>
          <w:rFonts w:hint="default" w:ascii="Times New Roman" w:hAnsi="Times New Roman" w:eastAsia="微软雅黑" w:cs="Times New Roman"/>
          <w:color w:val="333333"/>
          <w:sz w:val="24"/>
        </w:rPr>
        <w:t xml:space="preserve">price </w:t>
      </w:r>
      <w:r>
        <w:rPr>
          <w:rFonts w:hint="default" w:ascii="Times New Roman" w:hAnsi="Times New Roman" w:eastAsia="微软雅黑" w:cs="Times New Roman"/>
          <w:i w:val="0"/>
          <w:iCs w:val="0"/>
          <w:caps w:val="0"/>
          <w:color w:val="333333"/>
          <w:spacing w:val="0"/>
          <w:sz w:val="24"/>
          <w:szCs w:val="24"/>
        </w:rPr>
        <w:t>of a futures contract during the trading hours on a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(6)</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Price change. Price change refers to the difference between the last price of a futures contract during the trading hours on a trading day and the settlement price of the contract on the preceding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(7)</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High bid. High bid refers to the highest real-time price at which buyers have requested to buy a certain futures contract on a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(8)</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Low ask. Low ask refers to the lowest real-time price at which sellers have requested to sell a certain futures contract on a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(9)</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Buying quantity. Buying quantity refers to the total size of buy orders in a futures contract submitted at the high bid price and remained outstanding within the Exchange’s trading system on the current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(10)</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Selling quantity. Selling quantity refers to the total size of sell orders in a futures contract submitted at the low ask price and remained outstanding within the Exchange’s trading system on the current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Settlement price. Settlement price refers to the volume-weighted average of all the execution prices of a futures contract on a trading day. Where the contract is not executed on a trading day, the settlement price will be calculated in accordance with the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Futures Clearing Rules of Zhengzhou Commodity Exchange</w:t>
      </w:r>
      <w:r>
        <w:rPr>
          <w:rFonts w:hint="default" w:ascii="Times New Roman" w:hAnsi="Times New Roman" w:eastAsia="微软雅黑" w:cs="Times New Roman"/>
          <w:i w:val="0"/>
          <w:iCs w:val="0"/>
          <w:caps w:val="0"/>
          <w:color w:val="333333"/>
          <w:spacing w:val="0"/>
          <w:sz w:val="24"/>
          <w:szCs w:val="24"/>
        </w:rPr>
        <w:t xml:space="preserve">. The settlement price is the basis for calculating the profit and loss of open positions on the current trading day and for determining the price limit of the following trading </w:t>
      </w:r>
      <w:r>
        <w:rPr>
          <w:rFonts w:hint="default" w:ascii="Times New Roman" w:hAnsi="Times New Roman" w:eastAsia="微软雅黑" w:cs="Times New Roman"/>
          <w:color w:val="333333"/>
          <w:sz w:val="24"/>
        </w:rPr>
        <w:t>day</w:t>
      </w:r>
      <w:r>
        <w:rPr>
          <w:rFonts w:hint="default" w:ascii="Times New Roman" w:hAnsi="Times New Roman" w:eastAsia="微软雅黑" w:cs="Times New Roman"/>
          <w:i w:val="0"/>
          <w:iCs w:val="0"/>
          <w:caps w:val="0"/>
          <w:color w:val="333333"/>
          <w:spacing w:val="0"/>
          <w:sz w:val="24"/>
          <w:szCs w:val="24"/>
        </w:rPr>
        <w:t>.</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Trading volume. Trading volume or volume, with respect to a given contract, refers to the single-counted total number of contracts traded during the trading hours on the current trading day.</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Open interest. Open interest, with respect to a given contract, refers to the single-counted total number of open contracts held by traders.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time of listing and listing benchmark price of a new product are as announced by the Exchange.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contract of a product for a new calendar year is listed on the trading day that follows the Last Trading Day of last contract of that product in the preceding calendar year.</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listing benchmark price of a new contract is equal to the settlement price of its immediately preceding contract on the preceding trading day, subject to possible adjustment by the Exchange based on market conditions. The listing benchmark price is the basis for determining the price limit of the newly listed contract on the first trading day.</w:t>
      </w:r>
    </w:p>
    <w:p>
      <w:pPr>
        <w:pStyle w:val="3"/>
        <w:keepNext w:val="0"/>
        <w:keepLines w:val="0"/>
        <w:widowControl/>
        <w:suppressLineNumbers w:val="0"/>
        <w:spacing w:before="0" w:beforeAutospacing="0" w:after="315" w:afterAutospacing="0" w:line="450" w:lineRule="atLeast"/>
        <w:ind w:left="585" w:right="0" w:hanging="585"/>
        <w:jc w:val="center"/>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Chapter 5</w:t>
      </w:r>
      <w:r>
        <w:rPr>
          <w:b/>
          <w:bCs/>
          <w:color w:val="333333"/>
          <w:kern w:val="0"/>
          <w:sz w:val="24"/>
        </w:rPr>
        <w:tab/>
      </w:r>
      <w:r>
        <w:rPr>
          <w:rStyle w:val="6"/>
          <w:rFonts w:hint="default" w:ascii="Times New Roman" w:hAnsi="Times New Roman" w:eastAsia="微软雅黑" w:cs="Times New Roman"/>
          <w:b/>
          <w:bCs/>
          <w:i w:val="0"/>
          <w:iCs w:val="0"/>
          <w:caps w:val="0"/>
          <w:color w:val="333333"/>
          <w:spacing w:val="0"/>
          <w:sz w:val="24"/>
          <w:szCs w:val="24"/>
        </w:rPr>
        <w:t>Information Management</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futures trading information of the Exchange refers to the market data of all listed products arising from the futures trading activities at the Exchange, the statistics on futures trading, the announcements published by the Exchange, and other information to be published as required by the CSRC.</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36</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holds ownership right to the futures trading information. Without the authorization or licensing from the Exchange, no organization or individual may engage in any business related to such information, including but not limited to release, commercialization, value-adding development, and distribution.</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37</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in accordance with relevant rules and market needs, releases real-time, daily, weekly, monthly, and annual information presented in various dimensions.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38</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“Real-time information” includes contract name, delivery month, last price, price change, trading volume, open interest, change in open interest, buying price, selling price, buying quantity, selling quantity, size of each trade, settlement price, opening price, closing price, high price, low price, and previous settlement price.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Real-time information is released by the Exchange during trading hours as trading activities occur.</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39</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“Daily information” includes: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Daily market data: contract name, delivery month, opening price, high price, low price, closing price, previous settlement price, settlement price, price change, trading volume, open interest, change in open interest, and turnover;</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Trading volumes and long/short positions of the top 20 FB Members and OSBP in the nearby month and active month contracts, as well as the exchange of futures for physical (“</w:t>
      </w:r>
      <w:r>
        <w:rPr>
          <w:rStyle w:val="6"/>
          <w:rFonts w:hint="default" w:ascii="Times New Roman" w:hAnsi="Times New Roman" w:eastAsia="微软雅黑" w:cs="Times New Roman"/>
          <w:b/>
          <w:bCs/>
          <w:i w:val="0"/>
          <w:iCs w:val="0"/>
          <w:caps w:val="0"/>
          <w:color w:val="333333"/>
          <w:spacing w:val="0"/>
          <w:sz w:val="24"/>
          <w:szCs w:val="24"/>
        </w:rPr>
        <w:t>EFP</w:t>
      </w:r>
      <w:r>
        <w:rPr>
          <w:rFonts w:hint="default" w:ascii="Times New Roman" w:hAnsi="Times New Roman" w:eastAsia="微软雅黑" w:cs="Times New Roman"/>
          <w:i w:val="0"/>
          <w:iCs w:val="0"/>
          <w:caps w:val="0"/>
          <w:color w:val="333333"/>
          <w:spacing w:val="0"/>
          <w:sz w:val="24"/>
          <w:szCs w:val="24"/>
        </w:rPr>
        <w:t>”) volume of all contract</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months;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Number of standard warehouse receipts and change from the last published figure; and</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Results of delivery matching and the</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physical</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delivery volume.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daily futures trading information is released by the Exchange after market close of each trading day.</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40</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“Weekly information” includes contract name, delivery month, weekly opening price, high price, low price, weekly closing price, price change (difference between current week’s ending closing price and preceding week’s ending settlement price), open interest, change in open interest (difference between current week’s ending open interest and preceding week’s ending open interest), weekly ending settlement price, trading volume, and turnover.</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weekly futures trading information is released by the Exchange after market close of the last trading day of each week.</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“Monthly information” includes: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Monthly market data: contract name, delivery month, monthly opening price, high price, low price, monthly closing price, price change (difference between current month’s ending closing price and preceding month’s ending settlement price), open interest, change in open interest (difference between current month’s ending open interest and preceding month’s ending open interest), monthly ending settlement price, trading volume, and turnover;</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Total and product-specific trading</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volume</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and turnover; and</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Monthly physical delivery volume.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monthly futures trading information is released by the Exchange after market close of the last trading day of each month.</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“Annual information” includes:</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(1)</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Total and product-specific trading</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volume</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and turnover;</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(2)</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Member rankings by trading volume and</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turnover;</w:t>
      </w:r>
    </w:p>
    <w:p>
      <w:pPr>
        <w:widowControl/>
        <w:snapToGrid w:val="0"/>
        <w:spacing w:after="312" w:afterLines="100" w:line="276" w:lineRule="auto"/>
        <w:ind w:left="1440" w:hanging="72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Total and product-specific delivery volume, as well as EFP volume.</w:t>
      </w:r>
    </w:p>
    <w:p>
      <w:pPr>
        <w:widowControl/>
        <w:snapToGrid w:val="0"/>
        <w:spacing w:after="312" w:afterLines="100" w:line="276" w:lineRule="auto"/>
        <w:ind w:left="1440"/>
        <w:rPr>
          <w:rFonts w:hint="default" w:ascii="Calibri" w:hAnsi="Calibri" w:cs="Calibri"/>
          <w:sz w:val="21"/>
          <w:szCs w:val="21"/>
        </w:rPr>
      </w:pPr>
      <w:r>
        <w:rPr>
          <w:rFonts w:hint="default" w:ascii="Times New Roman" w:hAnsi="Times New Roman" w:eastAsia="微软雅黑" w:cs="Times New Roman"/>
          <w:i w:val="0"/>
          <w:iCs w:val="0"/>
          <w:caps w:val="0"/>
          <w:color w:val="333333"/>
          <w:spacing w:val="0"/>
          <w:sz w:val="24"/>
          <w:szCs w:val="24"/>
        </w:rPr>
        <w:t>The annual futures trading information is released by the Exchange after market close of the last trading day of each year.</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43</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real-time futures market data of the Exchange are transmitted to the trading seats through computer networks and released through the IT service providers and media outlets authorized by the Exchange.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44</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shall develop a synchronous quotation and real-time transaction reporting system built on effective telecommunications technologies.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45</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Members, OSPs, overseas intermediaries</w:t>
      </w:r>
      <w:r>
        <w:rPr>
          <w:rFonts w:hint="default" w:ascii="Times New Roman" w:hAnsi="Times New Roman" w:eastAsia="宋体" w:cs="Times New Roman"/>
          <w:i w:val="0"/>
          <w:iCs w:val="0"/>
          <w:caps w:val="0"/>
          <w:color w:val="333333"/>
          <w:spacing w:val="0"/>
          <w:sz w:val="24"/>
          <w:szCs w:val="24"/>
        </w:rPr>
        <w:t>, and</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other relevant parties are obligated to maintain the confidentiality of any trading materials, funds information, and other information whose disclosure would be inappropriate.</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46</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is not legally liable if the normal course of trading for a Member, an OSP, an overseas intermediary,</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or a client is affected by a disruption in the market data relay services of an IT service provider or media outlet.</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47</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No organization or individual may release any false or misleading futures trading information.</w:t>
      </w:r>
    </w:p>
    <w:p>
      <w:pPr>
        <w:pStyle w:val="3"/>
        <w:keepNext w:val="0"/>
        <w:keepLines w:val="0"/>
        <w:widowControl/>
        <w:suppressLineNumbers w:val="0"/>
        <w:spacing w:before="0" w:beforeAutospacing="0" w:after="315" w:afterAutospacing="0" w:line="450" w:lineRule="atLeast"/>
        <w:ind w:left="585" w:right="0" w:hanging="585"/>
        <w:jc w:val="center"/>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Chapter 6</w:t>
      </w:r>
      <w:r>
        <w:rPr>
          <w:b/>
          <w:bCs/>
          <w:color w:val="333333"/>
          <w:kern w:val="0"/>
          <w:sz w:val="24"/>
        </w:rPr>
        <w:tab/>
      </w:r>
      <w:r>
        <w:rPr>
          <w:rStyle w:val="6"/>
          <w:rFonts w:hint="default" w:ascii="Times New Roman" w:hAnsi="Times New Roman" w:eastAsia="微软雅黑" w:cs="Times New Roman"/>
          <w:b/>
          <w:bCs/>
          <w:i w:val="0"/>
          <w:iCs w:val="0"/>
          <w:caps w:val="0"/>
          <w:color w:val="333333"/>
          <w:spacing w:val="0"/>
          <w:sz w:val="24"/>
          <w:szCs w:val="24"/>
        </w:rPr>
        <w:t>Ancillary Provisions</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48</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Any violation of these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w:t>
      </w:r>
      <w:r>
        <w:rPr>
          <w:rFonts w:hint="eastAsia" w:ascii="Times New Roman" w:hAnsi="Times New Roman" w:eastAsia="微软雅黑" w:cs="Times New Roman"/>
          <w:i w:val="0"/>
          <w:iCs w:val="0"/>
          <w:caps w:val="0"/>
          <w:color w:val="333333"/>
          <w:spacing w:val="0"/>
          <w:sz w:val="24"/>
          <w:szCs w:val="24"/>
          <w:lang w:eastAsia="zh-CN"/>
        </w:rPr>
        <w:t xml:space="preserve"> </w:t>
      </w:r>
      <w:r>
        <w:rPr>
          <w:rFonts w:hint="default" w:ascii="Times New Roman" w:hAnsi="Times New Roman" w:eastAsia="微软雅黑" w:cs="Times New Roman"/>
          <w:i w:val="0"/>
          <w:iCs w:val="0"/>
          <w:caps w:val="0"/>
          <w:color w:val="333333"/>
          <w:spacing w:val="0"/>
          <w:sz w:val="24"/>
          <w:szCs w:val="24"/>
        </w:rPr>
        <w:t>will be handled in accordance with the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 of Zhengzhou Commodity Exchange on Violations</w:t>
      </w:r>
      <w:r>
        <w:rPr>
          <w:rFonts w:hint="default" w:ascii="Times New Roman" w:hAnsi="Times New Roman" w:eastAsia="微软雅黑" w:cs="Times New Roman"/>
          <w:i w:val="0"/>
          <w:iCs w:val="0"/>
          <w:caps w:val="0"/>
          <w:color w:val="333333"/>
          <w:spacing w:val="0"/>
          <w:sz w:val="24"/>
          <w:szCs w:val="24"/>
        </w:rPr>
        <w:t>.</w:t>
      </w:r>
    </w:p>
    <w:p>
      <w:pPr>
        <w:widowControl/>
        <w:snapToGrid w:val="0"/>
        <w:spacing w:after="312" w:afterLines="100" w:line="276" w:lineRule="auto"/>
        <w:ind w:left="1440" w:hanging="1440"/>
        <w:rPr>
          <w:rFonts w:hint="default" w:ascii="Calibri" w:hAnsi="Calibri" w:cs="Calibri"/>
          <w:sz w:val="21"/>
          <w:szCs w:val="21"/>
        </w:rPr>
      </w:pPr>
      <w:r>
        <w:rPr>
          <w:rStyle w:val="6"/>
          <w:rFonts w:hint="default" w:ascii="Times New Roman" w:hAnsi="Times New Roman" w:eastAsia="微软雅黑" w:cs="Times New Roman"/>
          <w:b/>
          <w:bCs/>
          <w:i w:val="0"/>
          <w:iCs w:val="0"/>
          <w:caps w:val="0"/>
          <w:color w:val="333333"/>
          <w:spacing w:val="0"/>
          <w:sz w:val="24"/>
          <w:szCs w:val="24"/>
        </w:rPr>
        <w:t>Article 49</w:t>
      </w:r>
      <w:r>
        <w:rPr>
          <w:b/>
          <w:bCs/>
          <w:color w:val="333333"/>
          <w:kern w:val="0"/>
          <w:sz w:val="24"/>
        </w:rPr>
        <w:tab/>
      </w:r>
      <w:r>
        <w:rPr>
          <w:rFonts w:hint="default" w:ascii="Times New Roman" w:hAnsi="Times New Roman" w:eastAsia="微软雅黑" w:cs="Times New Roman"/>
          <w:i w:val="0"/>
          <w:iCs w:val="0"/>
          <w:caps w:val="0"/>
          <w:color w:val="333333"/>
          <w:spacing w:val="0"/>
          <w:sz w:val="24"/>
          <w:szCs w:val="24"/>
        </w:rPr>
        <w:t>The Exchange reserves the right to interpret these</w:t>
      </w:r>
      <w:r>
        <w:rPr>
          <w:rFonts w:hint="eastAsia" w:ascii="Times New Roman" w:hAnsi="Times New Roman" w:eastAsia="微软雅黑" w:cs="Times New Roman"/>
          <w:i w:val="0"/>
          <w:iCs w:val="0"/>
          <w:caps w:val="0"/>
          <w:color w:val="333333"/>
          <w:spacing w:val="0"/>
          <w:sz w:val="24"/>
          <w:szCs w:val="24"/>
          <w:lang w:eastAsia="zh-CN"/>
        </w:rPr>
        <w:t xml:space="preserve"> </w:t>
      </w:r>
      <w:r>
        <w:rPr>
          <w:rStyle w:val="7"/>
          <w:rFonts w:hint="default" w:ascii="Times New Roman" w:hAnsi="Times New Roman" w:eastAsia="微软雅黑" w:cs="Times New Roman"/>
          <w:i w:val="0"/>
          <w:iCs w:val="0"/>
          <w:caps w:val="0"/>
          <w:color w:val="333333"/>
          <w:spacing w:val="0"/>
          <w:sz w:val="24"/>
          <w:szCs w:val="24"/>
        </w:rPr>
        <w:t>Rules</w:t>
      </w:r>
      <w:r>
        <w:rPr>
          <w:rFonts w:hint="default" w:ascii="Times New Roman" w:hAnsi="Times New Roman" w:eastAsia="微软雅黑" w:cs="Times New Roman"/>
          <w:i w:val="0"/>
          <w:iCs w:val="0"/>
          <w:caps w:val="0"/>
          <w:color w:val="333333"/>
          <w:spacing w:val="0"/>
          <w:sz w:val="24"/>
          <w:szCs w:val="24"/>
        </w:rPr>
        <w:t>.</w:t>
      </w:r>
    </w:p>
    <w:p>
      <w:pPr>
        <w:widowControl/>
        <w:snapToGrid w:val="0"/>
        <w:spacing w:after="312" w:afterLines="100" w:line="276" w:lineRule="auto"/>
        <w:ind w:left="1440" w:hanging="1440"/>
        <w:rPr>
          <w:rFonts w:hint="default" w:ascii="Calibri" w:hAnsi="Calibri" w:cs="Calibri"/>
          <w:sz w:val="21"/>
          <w:szCs w:val="21"/>
          <w:highlight w:val="none"/>
        </w:rPr>
      </w:pPr>
      <w:r>
        <w:rPr>
          <w:rStyle w:val="6"/>
          <w:rFonts w:hint="default" w:ascii="Times New Roman" w:hAnsi="Times New Roman" w:eastAsia="微软雅黑" w:cs="Times New Roman"/>
          <w:b/>
          <w:bCs/>
          <w:i w:val="0"/>
          <w:iCs w:val="0"/>
          <w:caps w:val="0"/>
          <w:color w:val="333333"/>
          <w:spacing w:val="0"/>
          <w:sz w:val="24"/>
          <w:szCs w:val="24"/>
          <w:highlight w:val="none"/>
        </w:rPr>
        <w:t>Article 50</w:t>
      </w:r>
      <w:r>
        <w:rPr>
          <w:b/>
          <w:bCs/>
          <w:color w:val="333333"/>
          <w:kern w:val="0"/>
          <w:sz w:val="24"/>
          <w:highlight w:val="none"/>
        </w:rPr>
        <w:tab/>
      </w:r>
      <w:r>
        <w:rPr>
          <w:rFonts w:hint="default" w:ascii="Times New Roman" w:hAnsi="Times New Roman" w:eastAsia="微软雅黑" w:cs="Times New Roman"/>
          <w:i w:val="0"/>
          <w:iCs w:val="0"/>
          <w:caps w:val="0"/>
          <w:color w:val="333333"/>
          <w:spacing w:val="0"/>
          <w:sz w:val="24"/>
          <w:szCs w:val="24"/>
          <w:highlight w:val="none"/>
        </w:rPr>
        <w:t>These</w:t>
      </w:r>
      <w:r>
        <w:rPr>
          <w:rFonts w:hint="eastAsia" w:ascii="Times New Roman" w:hAnsi="Times New Roman" w:eastAsia="微软雅黑" w:cs="Times New Roman"/>
          <w:i w:val="0"/>
          <w:iCs w:val="0"/>
          <w:caps w:val="0"/>
          <w:color w:val="333333"/>
          <w:spacing w:val="0"/>
          <w:sz w:val="24"/>
          <w:szCs w:val="24"/>
          <w:highlight w:val="none"/>
          <w:lang w:eastAsia="zh-CN"/>
        </w:rPr>
        <w:t xml:space="preserve"> </w:t>
      </w:r>
      <w:r>
        <w:rPr>
          <w:rStyle w:val="7"/>
          <w:rFonts w:hint="default" w:ascii="Times New Roman" w:hAnsi="Times New Roman" w:eastAsia="微软雅黑" w:cs="Times New Roman"/>
          <w:i w:val="0"/>
          <w:iCs w:val="0"/>
          <w:caps w:val="0"/>
          <w:color w:val="333333"/>
          <w:spacing w:val="0"/>
          <w:sz w:val="24"/>
          <w:szCs w:val="24"/>
          <w:highlight w:val="none"/>
        </w:rPr>
        <w:t>Rules</w:t>
      </w:r>
      <w:r>
        <w:rPr>
          <w:rFonts w:hint="eastAsia" w:ascii="Times New Roman" w:hAnsi="Times New Roman" w:eastAsia="微软雅黑" w:cs="Times New Roman"/>
          <w:i w:val="0"/>
          <w:iCs w:val="0"/>
          <w:caps w:val="0"/>
          <w:color w:val="333333"/>
          <w:spacing w:val="0"/>
          <w:sz w:val="24"/>
          <w:szCs w:val="24"/>
          <w:highlight w:val="none"/>
          <w:lang w:eastAsia="zh-CN"/>
        </w:rPr>
        <w:t xml:space="preserve"> </w:t>
      </w:r>
      <w:r>
        <w:rPr>
          <w:rFonts w:hint="default" w:ascii="Times New Roman" w:hAnsi="Times New Roman" w:eastAsia="微软雅黑" w:cs="Times New Roman"/>
          <w:i w:val="0"/>
          <w:iCs w:val="0"/>
          <w:caps w:val="0"/>
          <w:color w:val="333333"/>
          <w:spacing w:val="0"/>
          <w:sz w:val="24"/>
          <w:szCs w:val="24"/>
          <w:highlight w:val="none"/>
        </w:rPr>
        <w:t>take effect on</w:t>
      </w:r>
      <w:r>
        <w:rPr>
          <w:rStyle w:val="7"/>
          <w:rFonts w:hint="eastAsia" w:ascii="Times New Roman" w:hAnsi="Times New Roman" w:eastAsia="微软雅黑" w:cs="Times New Roman"/>
          <w:i w:val="0"/>
          <w:iCs w:val="0"/>
          <w:caps w:val="0"/>
          <w:color w:val="333333"/>
          <w:spacing w:val="0"/>
          <w:sz w:val="24"/>
          <w:szCs w:val="24"/>
          <w:highlight w:val="none"/>
          <w:lang w:eastAsia="zh-CN"/>
        </w:rPr>
        <w:t xml:space="preserve"> </w:t>
      </w:r>
      <w:r>
        <w:rPr>
          <w:rStyle w:val="7"/>
          <w:rFonts w:hint="eastAsia" w:ascii="Times New Roman" w:hAnsi="Times New Roman" w:eastAsia="微软雅黑" w:cs="Times New Roman"/>
          <w:i w:val="0"/>
          <w:iCs w:val="0"/>
          <w:caps w:val="0"/>
          <w:color w:val="333333"/>
          <w:spacing w:val="0"/>
          <w:sz w:val="24"/>
          <w:szCs w:val="24"/>
          <w:highlight w:val="none"/>
          <w:lang w:val="en-US" w:eastAsia="zh-CN"/>
        </w:rPr>
        <w:t>S</w:t>
      </w:r>
      <w:r>
        <w:rPr>
          <w:rStyle w:val="7"/>
          <w:rFonts w:hint="eastAsia" w:ascii="Times New Roman" w:hAnsi="Times New Roman" w:eastAsia="微软雅黑" w:cs="Times New Roman"/>
          <w:i w:val="0"/>
          <w:iCs w:val="0"/>
          <w:caps w:val="0"/>
          <w:color w:val="333333"/>
          <w:spacing w:val="0"/>
          <w:sz w:val="24"/>
          <w:szCs w:val="24"/>
          <w:highlight w:val="none"/>
          <w:lang w:val="en-US" w:eastAsia="zh-CN"/>
        </w:rPr>
        <w:t>eptember</w:t>
      </w:r>
      <w:r>
        <w:rPr>
          <w:rStyle w:val="7"/>
          <w:rFonts w:hint="default" w:ascii="Times New Roman" w:hAnsi="Times New Roman" w:eastAsia="微软雅黑" w:cs="Times New Roman"/>
          <w:i w:val="0"/>
          <w:iCs w:val="0"/>
          <w:caps w:val="0"/>
          <w:color w:val="333333"/>
          <w:spacing w:val="0"/>
          <w:sz w:val="24"/>
          <w:szCs w:val="24"/>
          <w:highlight w:val="none"/>
        </w:rPr>
        <w:t xml:space="preserve"> </w:t>
      </w:r>
      <w:r>
        <w:rPr>
          <w:rStyle w:val="7"/>
          <w:rFonts w:hint="eastAsia" w:ascii="Times New Roman" w:hAnsi="Times New Roman" w:eastAsia="微软雅黑" w:cs="Times New Roman"/>
          <w:i w:val="0"/>
          <w:iCs w:val="0"/>
          <w:caps w:val="0"/>
          <w:color w:val="333333"/>
          <w:spacing w:val="0"/>
          <w:sz w:val="24"/>
          <w:szCs w:val="24"/>
          <w:highlight w:val="none"/>
          <w:lang w:val="en-US" w:eastAsia="zh-CN"/>
        </w:rPr>
        <w:t>11</w:t>
      </w:r>
      <w:r>
        <w:rPr>
          <w:rStyle w:val="7"/>
          <w:rFonts w:hint="default" w:ascii="Times New Roman" w:hAnsi="Times New Roman" w:eastAsia="微软雅黑" w:cs="Times New Roman"/>
          <w:i w:val="0"/>
          <w:iCs w:val="0"/>
          <w:caps w:val="0"/>
          <w:color w:val="333333"/>
          <w:spacing w:val="0"/>
          <w:sz w:val="24"/>
          <w:szCs w:val="24"/>
          <w:highlight w:val="none"/>
        </w:rPr>
        <w:t>,</w:t>
      </w:r>
      <w:bookmarkStart w:id="1" w:name="_GoBack"/>
      <w:bookmarkEnd w:id="1"/>
      <w:r>
        <w:rPr>
          <w:rStyle w:val="7"/>
          <w:rFonts w:hint="eastAsia" w:ascii="Times New Roman" w:hAnsi="Times New Roman" w:eastAsia="微软雅黑" w:cs="Times New Roman"/>
          <w:i w:val="0"/>
          <w:iCs w:val="0"/>
          <w:caps w:val="0"/>
          <w:color w:val="333333"/>
          <w:spacing w:val="0"/>
          <w:sz w:val="24"/>
          <w:szCs w:val="24"/>
          <w:highlight w:val="none"/>
          <w:lang w:eastAsia="zh-CN"/>
        </w:rPr>
        <w:t xml:space="preserve"> </w:t>
      </w:r>
      <w:r>
        <w:rPr>
          <w:rStyle w:val="7"/>
          <w:rFonts w:hint="default" w:ascii="Times New Roman" w:hAnsi="Times New Roman" w:eastAsia="微软雅黑" w:cs="Times New Roman"/>
          <w:i w:val="0"/>
          <w:iCs w:val="0"/>
          <w:caps w:val="0"/>
          <w:color w:val="333333"/>
          <w:spacing w:val="0"/>
          <w:sz w:val="24"/>
          <w:szCs w:val="24"/>
          <w:highlight w:val="none"/>
        </w:rPr>
        <w:t>2026.</w:t>
      </w:r>
    </w:p>
    <w:p>
      <w:pPr>
        <w:widowControl/>
        <w:spacing w:before="624" w:beforeLines="200" w:line="450" w:lineRule="atLeast"/>
        <w:jc w:val="center"/>
        <w:rPr>
          <w:rFonts w:hint="default" w:ascii="Times New Roman" w:hAnsi="Times New Roman" w:eastAsia="微软雅黑"/>
          <w:color w:val="333333"/>
          <w:sz w:val="24"/>
        </w:rPr>
      </w:pPr>
      <w:r>
        <w:rPr>
          <w:rFonts w:hint="default" w:ascii="Times New Roman" w:hAnsi="Times New Roman" w:eastAsia="微软雅黑"/>
          <w:color w:val="333333"/>
          <w:sz w:val="24"/>
        </w:rPr>
        <w:t>(This English version is for reference ONLY. In case of any inconsistency between the different language versions, the Chinese version prevails.)</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0F5787"/>
    <w:rsid w:val="053F7FAA"/>
    <w:rsid w:val="068F5DEE"/>
    <w:rsid w:val="0AB2523E"/>
    <w:rsid w:val="0F0D7CC0"/>
    <w:rsid w:val="17C27330"/>
    <w:rsid w:val="1F521B79"/>
    <w:rsid w:val="2EC47A78"/>
    <w:rsid w:val="2FC3315A"/>
    <w:rsid w:val="301E5D14"/>
    <w:rsid w:val="39301960"/>
    <w:rsid w:val="39A80766"/>
    <w:rsid w:val="3DD006F5"/>
    <w:rsid w:val="49D45A72"/>
    <w:rsid w:val="4B3237EB"/>
    <w:rsid w:val="51B55443"/>
    <w:rsid w:val="56F13E08"/>
    <w:rsid w:val="59AF2530"/>
    <w:rsid w:val="6E8FF724"/>
    <w:rsid w:val="73822599"/>
    <w:rsid w:val="74133B78"/>
    <w:rsid w:val="761A1B24"/>
    <w:rsid w:val="7CD34B5A"/>
    <w:rsid w:val="7DEF4629"/>
    <w:rsid w:val="7EE41A1F"/>
    <w:rsid w:val="7FDB175F"/>
    <w:rsid w:val="FBFFE9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Emphasis"/>
    <w:basedOn w:val="5"/>
    <w:qFormat/>
    <w:uiPriority w:val="0"/>
    <w:rPr>
      <w:i/>
    </w:rPr>
  </w:style>
  <w:style w:type="character" w:styleId="8">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Office_11.8.2.11810_F1E327BC-269C-435d-A152-05C5408002CA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2026-08-06T17:48:00Z</dcterms:created>
  <dc:creator>Administrator</dc:creator>
  <cp:lastModifiedBy>王新宇</cp:lastModifiedBy>
  <dcterms:modified xsi:type="dcterms:W3CDTF">2026-09-11T09:31:04Z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2052-11.8.2.11810</vt:lpwstr>
  </property>
  <property fmtid="{D5CDD505-2E9C-101B-9397-08002B2CF9AE}" pid="3" name="ICV">
    <vt:lpwstr>ECC431E1C8534453BBF23AD8A99E6F60</vt:lpwstr>
  </property>
</Properties>
</file>