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bookmarkStart w:id="0" w:name="_GoBack"/>
      <w:r>
        <w:rPr>
          <w:b/>
          <w:sz w:val="28"/>
          <w:szCs w:val="28"/>
        </w:rPr>
        <w:t>Annex Ⅰ</w:t>
      </w:r>
      <w:bookmarkEnd w:id="0"/>
      <w:r>
        <w:rPr>
          <w:b/>
          <w:sz w:val="28"/>
          <w:szCs w:val="28"/>
        </w:rPr>
        <w:t>—Previous vs. New Provisions Comparison Table of</w:t>
      </w:r>
      <w:r>
        <w:rPr>
          <w:b/>
          <w:i/>
          <w:sz w:val="28"/>
          <w:szCs w:val="28"/>
        </w:rPr>
        <w:t>the Measures for the Administration of Option Trading of Zhengzhou Commodity Exchange</w:t>
      </w:r>
    </w:p>
    <w:p>
      <w:pP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b/>
                <w:sz w:val="24"/>
              </w:rPr>
            </w:pPr>
            <w:r>
              <w:rPr>
                <w:b/>
                <w:sz w:val="24"/>
              </w:rPr>
              <w:t>Previous Provisions</w:t>
            </w:r>
          </w:p>
        </w:tc>
        <w:tc>
          <w:tcPr>
            <w:tcW w:w="4261" w:type="dxa"/>
          </w:tcPr>
          <w:p>
            <w:pPr>
              <w:jc w:val="center"/>
              <w:rPr>
                <w:b/>
                <w:sz w:val="24"/>
              </w:rPr>
            </w:pPr>
            <w:r>
              <w:rPr>
                <w:b/>
                <w:sz w:val="24"/>
              </w:rPr>
              <w:t>New Provisions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sz w:val="24"/>
              </w:rPr>
            </w:pPr>
            <w:r>
              <w:rPr>
                <w:b/>
                <w:sz w:val="24"/>
              </w:rPr>
              <w:t>Article 4</w:t>
            </w:r>
            <w:r>
              <w:rPr>
                <w:sz w:val="24"/>
              </w:rPr>
              <w:t xml:space="preserve"> These Measures shall be applicable to on-exchange option trading activities. The Exchange, members, market makers, clients, futures margin depository banks designated by the Exchange and other market participants shall comply with these Measures.</w:t>
            </w:r>
          </w:p>
        </w:tc>
        <w:tc>
          <w:tcPr>
            <w:tcW w:w="4261" w:type="dxa"/>
          </w:tcPr>
          <w:p>
            <w:pPr>
              <w:rPr>
                <w:sz w:val="24"/>
              </w:rPr>
            </w:pPr>
            <w:r>
              <w:rPr>
                <w:b/>
                <w:sz w:val="24"/>
              </w:rPr>
              <w:t>Article 4</w:t>
            </w:r>
            <w:r>
              <w:rPr>
                <w:sz w:val="24"/>
              </w:rPr>
              <w:t xml:space="preserve"> These Measures shall be applicable to on-exchange option trading activities. The Exchange, members, market makers, </w:t>
            </w:r>
            <w:r>
              <w:rPr>
                <w:b/>
                <w:sz w:val="24"/>
                <w:u w:val="single"/>
              </w:rPr>
              <w:t>overseas brokers,</w:t>
            </w:r>
            <w:r>
              <w:rPr>
                <w:sz w:val="24"/>
              </w:rPr>
              <w:t xml:space="preserve"> clients, futures margin depository banks designated by the Exchange and other market participants shall comply with these Measures.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b/>
                <w:sz w:val="24"/>
              </w:rPr>
            </w:pPr>
            <w:r>
              <w:rPr>
                <w:b/>
                <w:sz w:val="24"/>
              </w:rPr>
              <w:t>Article 22</w:t>
            </w:r>
          </w:p>
          <w:p>
            <w:pPr>
              <w:rPr>
                <w:sz w:val="24"/>
              </w:rPr>
            </w:pPr>
            <w:r>
              <w:rPr>
                <w:sz w:val="24"/>
              </w:rPr>
              <w:t>...</w:t>
            </w:r>
          </w:p>
          <w:p>
            <w:pPr>
              <w:rPr>
                <w:sz w:val="24"/>
              </w:rPr>
            </w:pPr>
            <w:r>
              <w:rPr>
                <w:sz w:val="24"/>
              </w:rPr>
              <w:t>The Exchange shall manage RFQs in the market. Where there are abnormalities in RFQs, the Exchange may notify relevant members or clients by phone and require them to make reports, and the members and clients shall assist and cooperate with the Exchange. The futures brokers shall manage the RFQs of their clients and require them to send RFQs reasonably.</w:t>
            </w:r>
          </w:p>
        </w:tc>
        <w:tc>
          <w:tcPr>
            <w:tcW w:w="4261" w:type="dxa"/>
          </w:tcPr>
          <w:p>
            <w:pPr>
              <w:rPr>
                <w:b/>
                <w:sz w:val="24"/>
              </w:rPr>
            </w:pPr>
            <w:r>
              <w:rPr>
                <w:b/>
                <w:sz w:val="24"/>
              </w:rPr>
              <w:t>Article 22</w:t>
            </w:r>
          </w:p>
          <w:p>
            <w:pPr>
              <w:rPr>
                <w:sz w:val="24"/>
              </w:rPr>
            </w:pPr>
            <w:r>
              <w:rPr>
                <w:sz w:val="24"/>
              </w:rPr>
              <w:t>...</w:t>
            </w:r>
          </w:p>
          <w:p>
            <w:pPr>
              <w:rPr>
                <w:sz w:val="24"/>
              </w:rPr>
            </w:pPr>
            <w:r>
              <w:rPr>
                <w:sz w:val="24"/>
              </w:rPr>
              <w:t xml:space="preserve">The Exchange shall manage RFQs in the market. Where there are abnormalities in RFQs, the Exchange may notify relevant members, </w:t>
            </w:r>
            <w:r>
              <w:rPr>
                <w:b/>
                <w:sz w:val="24"/>
                <w:u w:val="single"/>
              </w:rPr>
              <w:t xml:space="preserve">overseas brokers, </w:t>
            </w:r>
            <w:r>
              <w:rPr>
                <w:sz w:val="24"/>
              </w:rPr>
              <w:t xml:space="preserve">and clients by phone and require them to make reports, and the members, </w:t>
            </w:r>
            <w:r>
              <w:rPr>
                <w:b/>
                <w:sz w:val="24"/>
                <w:u w:val="single"/>
              </w:rPr>
              <w:t>overseas brokers,</w:t>
            </w:r>
            <w:r>
              <w:rPr>
                <w:sz w:val="24"/>
              </w:rPr>
              <w:t xml:space="preserve"> and clients shall assist and cooperate with the Exchange. The futures brokers </w:t>
            </w:r>
            <w:r>
              <w:rPr>
                <w:b/>
                <w:sz w:val="24"/>
                <w:u w:val="single"/>
              </w:rPr>
              <w:t>and overseas brokers</w:t>
            </w:r>
            <w:r>
              <w:rPr>
                <w:sz w:val="24"/>
              </w:rPr>
              <w:t xml:space="preserve"> shall manage the RFQs of their clients and require them to send RFQs reasonably.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b/>
                <w:sz w:val="24"/>
              </w:rPr>
            </w:pPr>
            <w:r>
              <w:rPr>
                <w:b/>
                <w:sz w:val="24"/>
              </w:rPr>
              <w:t xml:space="preserve">Article 30 </w:t>
            </w:r>
            <w:r>
              <w:rPr>
                <w:sz w:val="24"/>
              </w:rPr>
              <w:t>A client’s option shall be exercised and assigned on the Exchange with the help of and in the name of a member.</w:t>
            </w:r>
          </w:p>
        </w:tc>
        <w:tc>
          <w:tcPr>
            <w:tcW w:w="4261" w:type="dxa"/>
          </w:tcPr>
          <w:p>
            <w:pPr>
              <w:rPr>
                <w:b/>
                <w:sz w:val="24"/>
              </w:rPr>
            </w:pPr>
            <w:r>
              <w:rPr>
                <w:b/>
                <w:sz w:val="24"/>
              </w:rPr>
              <w:t xml:space="preserve">Article 30 </w:t>
            </w:r>
            <w:r>
              <w:rPr>
                <w:sz w:val="24"/>
              </w:rPr>
              <w:t xml:space="preserve">A client’s option shall be exercised and assigned on the Exchange with the help of a member </w:t>
            </w:r>
            <w:r>
              <w:rPr>
                <w:b/>
                <w:sz w:val="24"/>
                <w:u w:val="single"/>
              </w:rPr>
              <w:t>or the member entrusted by an overseas broker</w:t>
            </w:r>
            <w:r>
              <w:rPr>
                <w:sz w:val="24"/>
              </w:rPr>
              <w:t xml:space="preserve"> and in the name of the 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b/>
                <w:sz w:val="24"/>
              </w:rPr>
            </w:pPr>
            <w:r>
              <w:rPr>
                <w:b/>
                <w:sz w:val="24"/>
              </w:rPr>
              <w:t xml:space="preserve">Article 34 </w:t>
            </w:r>
            <w:r>
              <w:rPr>
                <w:sz w:val="24"/>
              </w:rPr>
              <w:t>Prior to the expiration day of option contracts, members shall remind the clients to properly manage the option positions.</w:t>
            </w:r>
          </w:p>
        </w:tc>
        <w:tc>
          <w:tcPr>
            <w:tcW w:w="4261" w:type="dxa"/>
          </w:tcPr>
          <w:p>
            <w:pPr>
              <w:rPr>
                <w:b/>
                <w:sz w:val="24"/>
              </w:rPr>
            </w:pPr>
            <w:r>
              <w:rPr>
                <w:b/>
                <w:sz w:val="24"/>
              </w:rPr>
              <w:t xml:space="preserve">Article 34 </w:t>
            </w:r>
            <w:r>
              <w:rPr>
                <w:sz w:val="24"/>
              </w:rPr>
              <w:t xml:space="preserve">Prior to the expiration day of option contracts, members </w:t>
            </w:r>
            <w:r>
              <w:rPr>
                <w:b/>
                <w:sz w:val="24"/>
                <w:u w:val="single"/>
              </w:rPr>
              <w:t>and overseas brokers</w:t>
            </w:r>
            <w:r>
              <w:rPr>
                <w:sz w:val="24"/>
              </w:rPr>
              <w:t xml:space="preserve"> shall remind the clients to properly manage the option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sz w:val="24"/>
              </w:rPr>
            </w:pPr>
            <w:r>
              <w:rPr>
                <w:b/>
                <w:sz w:val="24"/>
              </w:rPr>
              <w:t xml:space="preserve">Article 36 </w:t>
            </w:r>
          </w:p>
          <w:p>
            <w:pPr>
              <w:rPr>
                <w:sz w:val="24"/>
              </w:rPr>
            </w:pPr>
            <w:r>
              <w:rPr>
                <w:sz w:val="24"/>
              </w:rPr>
              <w:t>…</w:t>
            </w:r>
          </w:p>
          <w:p>
            <w:pPr>
              <w:rPr>
                <w:b/>
                <w:sz w:val="24"/>
              </w:rPr>
            </w:pPr>
            <w:r>
              <w:rPr>
                <w:sz w:val="24"/>
              </w:rPr>
              <w:t>The member shall not accept the application for exercising an option where the buyer does not have sufficient funds. Where the buyer’ positions of satisfy the requirements under items Ⅰ and Ⅱ of Article 35 but the buyer has insufficient funds, the member shall submit the application for waiving the exercise on behalf of the buyer to the Exchange.</w:t>
            </w:r>
          </w:p>
        </w:tc>
        <w:tc>
          <w:tcPr>
            <w:tcW w:w="4261" w:type="dxa"/>
          </w:tcPr>
          <w:p>
            <w:pPr>
              <w:rPr>
                <w:sz w:val="24"/>
              </w:rPr>
            </w:pPr>
            <w:r>
              <w:rPr>
                <w:b/>
                <w:sz w:val="24"/>
              </w:rPr>
              <w:t xml:space="preserve">Article 36 </w:t>
            </w:r>
          </w:p>
          <w:p>
            <w:pPr>
              <w:rPr>
                <w:sz w:val="24"/>
              </w:rPr>
            </w:pPr>
            <w:r>
              <w:rPr>
                <w:sz w:val="24"/>
              </w:rPr>
              <w:t>…</w:t>
            </w:r>
          </w:p>
          <w:p>
            <w:pPr>
              <w:rPr>
                <w:b/>
                <w:sz w:val="24"/>
              </w:rPr>
            </w:pPr>
            <w:r>
              <w:rPr>
                <w:sz w:val="24"/>
              </w:rPr>
              <w:t xml:space="preserve">The member </w:t>
            </w:r>
            <w:r>
              <w:rPr>
                <w:b/>
                <w:sz w:val="24"/>
                <w:u w:val="single"/>
              </w:rPr>
              <w:t>orthe overseas broker</w:t>
            </w:r>
            <w:r>
              <w:rPr>
                <w:sz w:val="24"/>
              </w:rPr>
              <w:t xml:space="preserve"> shall not accept the application for exercising an option where the buyer does not have sufficient funds. Where the buyer’ positions of satisfy the requirements under items Ⅰ and Ⅱ of Article 35 but the buyer has insufficient funds, the member or </w:t>
            </w:r>
            <w:r>
              <w:rPr>
                <w:b/>
                <w:sz w:val="24"/>
                <w:u w:val="single"/>
              </w:rPr>
              <w:t xml:space="preserve">the overseas broker </w:t>
            </w:r>
            <w:r>
              <w:rPr>
                <w:sz w:val="24"/>
              </w:rPr>
              <w:t>shall submit the application for waiving the exercise on behalf of the buyer to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b/>
                <w:sz w:val="24"/>
              </w:rPr>
            </w:pPr>
            <w:r>
              <w:rPr>
                <w:b/>
                <w:sz w:val="24"/>
              </w:rPr>
              <w:t xml:space="preserve">Article 70 </w:t>
            </w:r>
            <w:r>
              <w:rPr>
                <w:sz w:val="24"/>
              </w:rPr>
              <w:t>No members, information providers, public media or individuals shall release any false or misleading information.</w:t>
            </w:r>
          </w:p>
        </w:tc>
        <w:tc>
          <w:tcPr>
            <w:tcW w:w="4261" w:type="dxa"/>
          </w:tcPr>
          <w:p>
            <w:pPr>
              <w:rPr>
                <w:b/>
                <w:sz w:val="24"/>
              </w:rPr>
            </w:pPr>
            <w:r>
              <w:rPr>
                <w:b/>
                <w:sz w:val="24"/>
              </w:rPr>
              <w:t xml:space="preserve">Article 70 </w:t>
            </w:r>
            <w:r>
              <w:rPr>
                <w:rFonts w:eastAsia="仿宋"/>
                <w:dstrike/>
                <w:sz w:val="24"/>
              </w:rPr>
              <w:t xml:space="preserve">No members, information providers, public media </w:t>
            </w:r>
            <w:r>
              <w:rPr>
                <w:b/>
                <w:sz w:val="24"/>
                <w:u w:val="single"/>
              </w:rPr>
              <w:t xml:space="preserve">No units or </w:t>
            </w:r>
            <w:r>
              <w:rPr>
                <w:sz w:val="24"/>
              </w:rPr>
              <w:t>individuals</w:t>
            </w:r>
            <w:r>
              <w:rPr>
                <w:b/>
                <w:sz w:val="24"/>
              </w:rPr>
              <w:t xml:space="preserve"> s</w:t>
            </w:r>
            <w:r>
              <w:rPr>
                <w:sz w:val="24"/>
              </w:rPr>
              <w:t>hall release any false or misleading information.</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8065E"/>
    <w:rsid w:val="61280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2022-12-02T10:18:00Z</dcterms:created>
  <dc:creator>张纯熙</dc:creator>
  <lastModifiedBy>张纯熙</lastModifiedBy>
  <dcterms:modified xsi:type="dcterms:W3CDTF">2022-12-02T10:19:12Z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902E704C1B3F4F9D8233BC70DFBC9F79</vt:lpwstr>
  </property>
</Properties>
</file>