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Annex Ⅱ</w:t>
      </w:r>
      <w:bookmarkEnd w:id="0"/>
      <w:r>
        <w:rPr>
          <w:b/>
          <w:sz w:val="28"/>
          <w:szCs w:val="28"/>
        </w:rPr>
        <w:t>—Previous vs. New Provisions Comparison Table of</w:t>
      </w:r>
      <w:r>
        <w:rPr>
          <w:b/>
          <w:i/>
          <w:sz w:val="28"/>
          <w:szCs w:val="28"/>
        </w:rPr>
        <w:t xml:space="preserve"> the Detailed Business Rules for Rapeseed Oil Futures of Zhengzhou Commodity Exchange</w:t>
      </w:r>
    </w:p>
    <w:p>
      <w:pPr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Previous Provisions</w:t>
            </w:r>
          </w:p>
        </w:tc>
        <w:tc>
          <w:tcPr>
            <w:tcW w:w="4261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New Provisions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Article 2 </w:t>
            </w:r>
            <w:r>
              <w:rPr>
                <w:sz w:val="24"/>
              </w:rPr>
              <w:t>The Exchange, members, clients, delivery warehouses (hereinafter “warehouses”), delivery factories (hereinafter “factories”), designated quality inspection agencies and other futures market participants shall comply with these Detailed Rules.</w:t>
            </w:r>
          </w:p>
        </w:tc>
        <w:tc>
          <w:tcPr>
            <w:tcW w:w="4261" w:type="dxa"/>
          </w:tcPr>
          <w:p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Article 2 </w:t>
            </w:r>
            <w:r>
              <w:rPr>
                <w:sz w:val="24"/>
              </w:rPr>
              <w:t xml:space="preserve">The Exchange, members, </w:t>
            </w:r>
            <w:r>
              <w:rPr>
                <w:b/>
                <w:sz w:val="24"/>
                <w:u w:val="single"/>
              </w:rPr>
              <w:t>overseas brokers,</w:t>
            </w:r>
            <w:r>
              <w:rPr>
                <w:sz w:val="24"/>
              </w:rPr>
              <w:t xml:space="preserve"> clients, delivery warehouses (hereinafter “warehouses”), delivery factories (hereinafter “factories”), designated quality inspection agencies and other futures market participants shall comply with these Detailed Rules.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8065E"/>
    <w:rsid w:val="6128065E"/>
    <w:rsid w:val="6A5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2022-12-02T10:18:00Z</dcterms:created>
  <dc:creator>张纯熙</dc:creator>
  <lastModifiedBy>张纯熙</lastModifiedBy>
  <dcterms:modified xsi:type="dcterms:W3CDTF">2022-12-02T10:19:46Z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3DA87F3D95C14C70A4FF89D54FA32650</vt:lpwstr>
  </property>
</Properties>
</file>